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3"/>
        <w:jc w:val="center"/>
        <w:spacing w:before="1"/>
        <w:tabs>
          <w:tab w:val="left" w:pos="0" w:leader="none"/>
        </w:tabs>
        <w:rPr>
          <w:b/>
          <w:spacing w:val="1"/>
          <w:sz w:val="24"/>
          <w:szCs w:val="24"/>
        </w:rPr>
      </w:pPr>
      <w:r/>
      <w:bookmarkStart w:id="0" w:name="_GoBack"/>
      <w:r/>
      <w:bookmarkEnd w:id="0"/>
      <w:r>
        <w:rPr>
          <w:b/>
          <w:sz w:val="24"/>
          <w:szCs w:val="24"/>
        </w:rPr>
        <w:t xml:space="preserve">Заявка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</w:r>
    </w:p>
    <w:p>
      <w:pPr>
        <w:ind w:right="3"/>
        <w:jc w:val="center"/>
        <w:spacing w:before="1"/>
        <w:tabs>
          <w:tab w:val="left" w:pos="0" w:leader="none"/>
        </w:tabs>
        <w:rPr>
          <w:b/>
          <w:spacing w:val="47"/>
          <w:sz w:val="24"/>
          <w:szCs w:val="24"/>
        </w:rPr>
      </w:pPr>
      <w:r>
        <w:rPr>
          <w:b/>
          <w:sz w:val="24"/>
          <w:szCs w:val="24"/>
        </w:rPr>
        <w:t xml:space="preserve">на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участие</w:t>
      </w:r>
      <w:r>
        <w:rPr>
          <w:b/>
          <w:spacing w:val="39"/>
          <w:sz w:val="24"/>
          <w:szCs w:val="24"/>
        </w:rPr>
        <w:t xml:space="preserve"> </w:t>
      </w:r>
      <w:r>
        <w:rPr>
          <w:b/>
          <w:color w:val="1f1f1f"/>
          <w:sz w:val="24"/>
          <w:szCs w:val="24"/>
        </w:rPr>
        <w:t xml:space="preserve">во</w:t>
      </w:r>
      <w:r>
        <w:rPr>
          <w:b/>
          <w:color w:val="1f1f1f"/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всероссийском</w:t>
      </w:r>
      <w:r>
        <w:rPr>
          <w:b/>
          <w:spacing w:val="15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конкурсе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«Вектор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качества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образования»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pacing w:val="47"/>
          <w:sz w:val="24"/>
          <w:szCs w:val="24"/>
        </w:rPr>
      </w:r>
    </w:p>
    <w:p>
      <w:pPr>
        <w:ind w:right="6"/>
        <w:jc w:val="center"/>
        <w:spacing w:after="240"/>
        <w:tabs>
          <w:tab w:val="left" w:pos="0" w:leader="none"/>
        </w:tabs>
        <w:rPr>
          <w:b/>
          <w:color w:val="0c0c0c"/>
          <w:sz w:val="24"/>
          <w:szCs w:val="24"/>
        </w:rPr>
      </w:pPr>
      <w:r>
        <w:rPr>
          <w:b/>
          <w:sz w:val="24"/>
          <w:szCs w:val="24"/>
        </w:rPr>
        <w:t xml:space="preserve">(Карта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инновации)</w:t>
      </w:r>
      <w:r>
        <w:rPr>
          <w:b/>
          <w:color w:val="0c0c0c"/>
          <w:sz w:val="24"/>
          <w:szCs w:val="24"/>
        </w:rPr>
      </w:r>
    </w:p>
    <w:tbl>
      <w:tblPr>
        <w:tblStyle w:val="700"/>
        <w:tblW w:w="9640" w:type="dxa"/>
        <w:jc w:val="center"/>
        <w:tblBorders>
          <w:top w:val="single" w:color="1F1F1F" w:sz="6" w:space="0"/>
          <w:left w:val="single" w:color="1F1F1F" w:sz="6" w:space="0"/>
          <w:bottom w:val="single" w:color="1F1F1F" w:sz="6" w:space="0"/>
          <w:right w:val="single" w:color="1F1F1F" w:sz="6" w:space="0"/>
          <w:insideH w:val="single" w:color="1F1F1F" w:sz="6" w:space="0"/>
          <w:insideV w:val="single" w:color="1F1F1F" w:sz="6" w:space="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5962"/>
      </w:tblGrid>
      <w:tr>
        <w:trPr>
          <w:jc w:val="center"/>
          <w:trHeight w:val="561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22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образовательной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122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уставу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бюджетное общеобразовательное учреждение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Ин</w:t>
            </w:r>
            <w:r>
              <w:rPr>
                <w:sz w:val="24"/>
                <w:szCs w:val="24"/>
              </w:rPr>
              <w:t xml:space="preserve">женерно-технологическая школа № 777»</w:t>
            </w:r>
            <w:r>
              <w:rPr>
                <w:sz w:val="24"/>
                <w:szCs w:val="24"/>
              </w:rPr>
              <w:t xml:space="preserve"> Санкт-Петербурга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780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22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отчество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Князева Вера Владимировна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551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26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данные: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почтовый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адрес,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телефон,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официального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сайта,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электронная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поч</w:t>
            </w:r>
            <w:r>
              <w:rPr>
                <w:sz w:val="24"/>
                <w:szCs w:val="24"/>
              </w:rPr>
              <w:t xml:space="preserve">та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197345, Санкт-Петербург, Лыжный переулок, дом 4, корпус 2, строение 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Телефон: +7 (812) 246-35-80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  <w:lang w:val="en-US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hyperlink r:id="rId10" w:tooltip="mailto:info.itsh777@obr.gov.spb.ru" w:history="1">
              <w:r>
                <w:rPr>
                  <w:rStyle w:val="704"/>
                  <w:sz w:val="24"/>
                  <w:szCs w:val="24"/>
                  <w:lang w:val="en-US"/>
                </w:rPr>
                <w:t xml:space="preserve">info</w:t>
              </w:r>
              <w:r>
                <w:rPr>
                  <w:rStyle w:val="704"/>
                  <w:sz w:val="24"/>
                  <w:szCs w:val="24"/>
                </w:rPr>
                <w:t xml:space="preserve">.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itsh</w:t>
              </w:r>
              <w:r>
                <w:rPr>
                  <w:rStyle w:val="704"/>
                  <w:sz w:val="24"/>
                  <w:szCs w:val="24"/>
                </w:rPr>
                <w:t xml:space="preserve">777@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obr</w:t>
              </w:r>
              <w:r>
                <w:rPr>
                  <w:rStyle w:val="704"/>
                  <w:sz w:val="24"/>
                  <w:szCs w:val="24"/>
                </w:rPr>
                <w:t xml:space="preserve">.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gov</w:t>
              </w:r>
              <w:r>
                <w:rPr>
                  <w:rStyle w:val="704"/>
                  <w:sz w:val="24"/>
                  <w:szCs w:val="24"/>
                </w:rPr>
                <w:t xml:space="preserve">.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spb</w:t>
              </w:r>
              <w:r>
                <w:rPr>
                  <w:rStyle w:val="704"/>
                  <w:sz w:val="24"/>
                  <w:szCs w:val="24"/>
                </w:rPr>
                <w:t xml:space="preserve">.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ru</w:t>
              </w:r>
            </w:hyperlink>
            <w:r/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сайта: </w:t>
            </w:r>
            <w:hyperlink r:id="rId11" w:tooltip="https://school777.spb.ru/" w:history="1">
              <w:r>
                <w:rPr>
                  <w:rStyle w:val="704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704"/>
                  <w:sz w:val="24"/>
                  <w:szCs w:val="24"/>
                </w:rPr>
                <w:t xml:space="preserve">://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school</w:t>
              </w:r>
              <w:r>
                <w:rPr>
                  <w:rStyle w:val="704"/>
                  <w:sz w:val="24"/>
                  <w:szCs w:val="24"/>
                </w:rPr>
                <w:t xml:space="preserve">777.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spb</w:t>
              </w:r>
              <w:r>
                <w:rPr>
                  <w:rStyle w:val="704"/>
                  <w:sz w:val="24"/>
                  <w:szCs w:val="24"/>
                </w:rPr>
                <w:t xml:space="preserve">.</w:t>
              </w:r>
              <w:r>
                <w:rPr>
                  <w:rStyle w:val="704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704"/>
                  <w:sz w:val="24"/>
                  <w:szCs w:val="24"/>
                </w:rPr>
                <w:t xml:space="preserve">/</w:t>
              </w:r>
            </w:hyperlink>
            <w:r/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1089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32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Содержательное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направление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представленных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Ко</w:t>
            </w:r>
            <w:r>
              <w:rPr>
                <w:sz w:val="24"/>
                <w:szCs w:val="24"/>
              </w:rPr>
              <w:t xml:space="preserve">нкурс материалов (согласно п.2.4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Положения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всероссийском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«Вектор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кач</w:t>
            </w:r>
            <w:r>
              <w:rPr>
                <w:sz w:val="24"/>
                <w:szCs w:val="24"/>
              </w:rPr>
              <w:t xml:space="preserve">ества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образования»)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Школа, открытая обществу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273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33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конкурсных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материалов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(тема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инновации)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инженерно-технологической школы: использование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возможностей социального партнёрства и сетевого взаимодействия для </w:t>
            </w:r>
            <w:r>
              <w:rPr>
                <w:sz w:val="24"/>
                <w:szCs w:val="24"/>
              </w:rPr>
              <w:t xml:space="preserve">развития инженерных компетенций</w:t>
            </w:r>
            <w:r>
              <w:rPr>
                <w:sz w:val="24"/>
                <w:szCs w:val="24"/>
              </w:rPr>
              <w:t xml:space="preserve"> школьников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их воспитания и социализации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527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39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авторский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коллектив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представленной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инновации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Князева Вера Владимировна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834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41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Краткое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описание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инновации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(цели,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зада</w:t>
            </w:r>
            <w:r>
              <w:rPr>
                <w:sz w:val="24"/>
                <w:szCs w:val="24"/>
              </w:rPr>
              <w:t xml:space="preserve">ч</w:t>
            </w:r>
            <w:r>
              <w:rPr>
                <w:sz w:val="24"/>
                <w:szCs w:val="24"/>
              </w:rPr>
              <w:t xml:space="preserve">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содержание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полученные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результаты,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эффекты)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Петербургское школьное образование стало профориентированным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Совместно с вузами запускаются инженерные школы и научные классы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школах Санкт-Петербурга в рамках реализации 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диной модели профессиональной </w:t>
            </w:r>
            <w:r>
              <w:rPr>
                <w:sz w:val="24"/>
                <w:szCs w:val="24"/>
              </w:rPr>
              <w:t xml:space="preserve">ориентации создаются</w:t>
            </w:r>
            <w:r>
              <w:rPr>
                <w:sz w:val="24"/>
                <w:szCs w:val="24"/>
              </w:rPr>
              <w:t xml:space="preserve"> предпрофессиональные профильные инженерные классы.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Важной особенностью </w:t>
            </w:r>
            <w:r>
              <w:rPr>
                <w:sz w:val="24"/>
                <w:szCs w:val="24"/>
              </w:rPr>
              <w:t xml:space="preserve">реализации образовательных программ инженерных классов </w:t>
            </w:r>
            <w:r>
              <w:rPr>
                <w:sz w:val="24"/>
                <w:szCs w:val="24"/>
              </w:rPr>
              <w:t xml:space="preserve">является объединение усилий </w:t>
            </w:r>
            <w:r>
              <w:rPr>
                <w:sz w:val="24"/>
                <w:szCs w:val="24"/>
              </w:rPr>
              <w:t xml:space="preserve">педагогического коллектива школы</w:t>
            </w:r>
            <w:r>
              <w:rPr>
                <w:sz w:val="24"/>
                <w:szCs w:val="24"/>
              </w:rPr>
              <w:t xml:space="preserve">, учреждений профессионального образования, высших учебных заведений, работодателей.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Целью </w:t>
            </w:r>
            <w:r>
              <w:rPr>
                <w:sz w:val="24"/>
                <w:szCs w:val="24"/>
              </w:rPr>
              <w:t xml:space="preserve">представляемой практики </w:t>
            </w:r>
            <w:r>
              <w:rPr>
                <w:sz w:val="24"/>
                <w:szCs w:val="24"/>
              </w:rPr>
              <w:t xml:space="preserve">является обеспечение </w:t>
            </w:r>
            <w:r>
              <w:rPr>
                <w:sz w:val="24"/>
                <w:szCs w:val="24"/>
              </w:rPr>
              <w:t xml:space="preserve">развития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школьного </w:t>
            </w:r>
            <w:r>
              <w:rPr>
                <w:sz w:val="24"/>
                <w:szCs w:val="24"/>
              </w:rPr>
              <w:t xml:space="preserve">инженерного </w:t>
            </w:r>
            <w:r>
              <w:rPr>
                <w:sz w:val="24"/>
                <w:szCs w:val="24"/>
              </w:rPr>
              <w:t xml:space="preserve">образования</w:t>
            </w:r>
            <w:r>
              <w:rPr>
                <w:sz w:val="24"/>
                <w:szCs w:val="24"/>
              </w:rPr>
              <w:t xml:space="preserve"> с привлечением ресурсов социальных партеров</w:t>
            </w:r>
            <w:r>
              <w:rPr>
                <w:sz w:val="24"/>
                <w:szCs w:val="24"/>
              </w:rPr>
              <w:t xml:space="preserve">, повышение эффективности реализации осн</w:t>
            </w:r>
            <w:r>
              <w:rPr>
                <w:sz w:val="24"/>
                <w:szCs w:val="24"/>
              </w:rPr>
              <w:t xml:space="preserve">овной образовательной программы, дополнительных общеобразовательных программ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программ</w:t>
            </w:r>
            <w:r>
              <w:rPr>
                <w:sz w:val="24"/>
                <w:szCs w:val="24"/>
              </w:rPr>
              <w:t xml:space="preserve"> профессиональной ориентации </w:t>
            </w:r>
            <w:r>
              <w:rPr>
                <w:sz w:val="24"/>
                <w:szCs w:val="24"/>
              </w:rPr>
              <w:t xml:space="preserve">в сетевом формате</w:t>
            </w:r>
            <w:r>
              <w:rPr>
                <w:sz w:val="24"/>
                <w:szCs w:val="24"/>
              </w:rPr>
              <w:t xml:space="preserve">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Основное отличие образовательного процесса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ИТШ № 777</w:t>
            </w:r>
            <w:r>
              <w:rPr>
                <w:sz w:val="24"/>
                <w:szCs w:val="24"/>
              </w:rPr>
              <w:t xml:space="preserve"> заключается в высокой степени организационной интеграции на уровне тернарной модели «шко</w:t>
            </w:r>
            <w:r>
              <w:rPr>
                <w:sz w:val="24"/>
                <w:szCs w:val="24"/>
              </w:rPr>
              <w:t xml:space="preserve">ла – вуз / учреждение профессионального образования – высокотехнологичное предприятие реального сектора экономики». Обязательной фазой присвоения конкретного содержания знания является практика, представляющая собой применение знания в конкретной ситуации.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основным задачам можно отнести </w:t>
            </w:r>
            <w:r>
              <w:rPr>
                <w:sz w:val="24"/>
                <w:szCs w:val="24"/>
              </w:rPr>
              <w:t xml:space="preserve">интеграцию воспитательного и образовательного процессов через реализацию социальных проб и практик, ролевых моделей</w:t>
            </w:r>
            <w:r>
              <w:rPr>
                <w:sz w:val="24"/>
                <w:szCs w:val="24"/>
              </w:rPr>
              <w:t xml:space="preserve"> мотивированного поведения; обеспечение</w:t>
            </w:r>
            <w:r>
              <w:rPr>
                <w:sz w:val="24"/>
                <w:szCs w:val="24"/>
              </w:rPr>
              <w:t xml:space="preserve"> субъектам </w:t>
            </w:r>
            <w:r>
              <w:rPr>
                <w:sz w:val="24"/>
                <w:szCs w:val="24"/>
              </w:rPr>
              <w:t xml:space="preserve">отношений </w:t>
            </w:r>
            <w:r>
              <w:rPr>
                <w:sz w:val="24"/>
                <w:szCs w:val="24"/>
              </w:rPr>
              <w:t xml:space="preserve">в сфере образования </w:t>
            </w:r>
            <w:r>
              <w:rPr>
                <w:sz w:val="24"/>
                <w:szCs w:val="24"/>
              </w:rPr>
              <w:t xml:space="preserve">реальной возможности</w:t>
            </w:r>
            <w:r>
              <w:rPr>
                <w:sz w:val="24"/>
                <w:szCs w:val="24"/>
              </w:rPr>
              <w:t xml:space="preserve"> влиять на решения по ключевым вопросам в жизнедеятельности школы, включая реализацию </w:t>
            </w:r>
            <w:r>
              <w:rPr>
                <w:sz w:val="24"/>
                <w:szCs w:val="24"/>
              </w:rPr>
              <w:t xml:space="preserve">основных и дополнительных образовательных программ, </w:t>
            </w:r>
            <w:r>
              <w:rPr>
                <w:sz w:val="24"/>
                <w:szCs w:val="24"/>
              </w:rPr>
              <w:t xml:space="preserve">программы воспитания и соци</w:t>
            </w:r>
            <w:r>
              <w:rPr>
                <w:sz w:val="24"/>
                <w:szCs w:val="24"/>
              </w:rPr>
              <w:t xml:space="preserve">ализации школьников, организацию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ранней профориентации</w:t>
            </w:r>
            <w:r>
              <w:rPr>
                <w:sz w:val="24"/>
                <w:szCs w:val="24"/>
              </w:rPr>
              <w:t xml:space="preserve"> с учётом согласованных запросов участников отношений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сфере образования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Понимая потребность в подготовке </w:t>
            </w:r>
            <w:r>
              <w:rPr>
                <w:sz w:val="24"/>
                <w:szCs w:val="24"/>
              </w:rPr>
              <w:t xml:space="preserve">инженерных </w:t>
            </w:r>
            <w:r>
              <w:rPr>
                <w:sz w:val="24"/>
                <w:szCs w:val="24"/>
              </w:rPr>
              <w:t xml:space="preserve">кадров партнерами </w:t>
            </w:r>
            <w:r>
              <w:rPr>
                <w:sz w:val="24"/>
                <w:szCs w:val="24"/>
              </w:rPr>
              <w:t xml:space="preserve">ИТШ № 777</w:t>
            </w:r>
            <w:r>
              <w:rPr>
                <w:sz w:val="24"/>
                <w:szCs w:val="24"/>
              </w:rPr>
              <w:t xml:space="preserve"> стали ведущие предприятия</w:t>
            </w:r>
            <w:r>
              <w:rPr>
                <w:sz w:val="24"/>
                <w:szCs w:val="24"/>
              </w:rPr>
              <w:t xml:space="preserve">, вузы, учреждения профессионального образования </w:t>
            </w:r>
            <w:r>
              <w:rPr>
                <w:sz w:val="24"/>
                <w:szCs w:val="24"/>
              </w:rPr>
              <w:t xml:space="preserve">Санкт</w:t>
            </w:r>
            <w:r>
              <w:rPr>
                <w:sz w:val="24"/>
                <w:szCs w:val="24"/>
              </w:rPr>
              <w:t xml:space="preserve">-Петербурга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Содержание работы в рамках социального партнёрства и сетевого взаимодействия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2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профориентационная работа и производственная практика в формате социальных проб и практик;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2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целевое направление на обучение в образовательные организации высшего профессионального образования;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2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реализации проектной деятельности школьников - предоставление возможности для изучения основ высокотехнологического производства, технологических процессов, средств информатизации предприятия и пр.;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2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содействия в проведении исследовательской работы учащихся на высокотехнологичном или профессиональном оборудовании;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2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ознакомлению школьников со спецификой социально-трудовых отношений, механизмами регулирования социально-трудовых отношений;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2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организации и поведении открытых массовых школьных мероприятий профориентационной направленности.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взаимодействия: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3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тематические образовательные экскурсии;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3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исследовательской работы учащихся на высокотехнологичном или профессиональном оборудовании;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3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организованное и индивидуализированное изучение интерактивных объектов на основе тематических маршрутных листков;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3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научных викторин (конкурсов), научно-познавательные представления, выездные экспозиции.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и методы организации образовательных мероприятий: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4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мастерские (творческие, научно-технические, прикладной математики, информационных технологий, программирования и др.);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4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проектные работы (исследовательские, изобретательские, экспериментальные, практические и пр.), образовательные игры;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4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кейсов и решения изобретательских задач;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4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научно-практические экскурсии;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4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путешествия, исследовательские экспедиции, образовательные фильмы, интерактивные презентации и т.д.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модели содействует привлечению общественности к реализации социальных проб школьников, </w:t>
            </w:r>
            <w:r>
              <w:rPr>
                <w:sz w:val="24"/>
                <w:szCs w:val="24"/>
              </w:rPr>
              <w:t xml:space="preserve">развити</w:t>
            </w:r>
            <w:r>
              <w:rPr>
                <w:sz w:val="24"/>
                <w:szCs w:val="24"/>
              </w:rPr>
              <w:t xml:space="preserve">ю</w:t>
            </w:r>
            <w:r>
              <w:rPr>
                <w:sz w:val="24"/>
                <w:szCs w:val="24"/>
              </w:rPr>
              <w:t xml:space="preserve"> их инженерных компетенций, </w:t>
            </w:r>
            <w:r>
              <w:rPr>
                <w:sz w:val="24"/>
                <w:szCs w:val="24"/>
              </w:rPr>
              <w:t xml:space="preserve">организации проектной и учебно-исследовательской деятельности, создает условия для включения учащихся в систему общественных отношений.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существующих условиях образовательная система ИТШ </w:t>
            </w:r>
            <w:r>
              <w:rPr>
                <w:sz w:val="24"/>
                <w:szCs w:val="24"/>
              </w:rPr>
              <w:t xml:space="preserve">№ 777 </w:t>
            </w:r>
            <w:r>
              <w:rPr>
                <w:sz w:val="24"/>
                <w:szCs w:val="24"/>
              </w:rPr>
              <w:t xml:space="preserve">направлена на формирование знаний и навыков, позволяющих эффективно работать в экономике и достигать социального успеха. Образование в ИТШ</w:t>
            </w:r>
            <w:r>
              <w:rPr>
                <w:sz w:val="24"/>
                <w:szCs w:val="24"/>
              </w:rPr>
              <w:t xml:space="preserve"> № 777</w:t>
            </w:r>
            <w:r>
              <w:rPr>
                <w:sz w:val="24"/>
                <w:szCs w:val="24"/>
              </w:rPr>
              <w:t xml:space="preserve"> — система гибкого, индивидуализированного, открытого образования, поддерживающего образовательные потребности человека на протяжении всей его жизни.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Одним из главных образовательных результатов является формирование позитивных социальных установок.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Полученные результаты</w:t>
            </w:r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</w:t>
            </w:r>
            <w:r>
              <w:rPr>
                <w:sz w:val="24"/>
                <w:szCs w:val="24"/>
              </w:rPr>
              <w:tab/>
              <w:t xml:space="preserve">для обучающихся -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формирование современных </w:t>
            </w:r>
            <w:r>
              <w:rPr>
                <w:sz w:val="24"/>
                <w:szCs w:val="24"/>
              </w:rPr>
              <w:t xml:space="preserve">допрофессиональных</w:t>
            </w:r>
            <w:r>
              <w:rPr>
                <w:sz w:val="24"/>
                <w:szCs w:val="24"/>
              </w:rPr>
              <w:t xml:space="preserve"> компетенций;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формирование аналитического, логического и системного мышления;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развитие компетенции в сфере IT и навыков программирования;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развитие у обучающихся навыков для жизни (Soft skills, «мягкие навыки»): коммуникабельность, организованность, умение работать в команде, </w:t>
            </w:r>
            <w:r>
              <w:rPr>
                <w:sz w:val="24"/>
                <w:szCs w:val="24"/>
              </w:rPr>
              <w:t xml:space="preserve">пунктуальность, критическое мышление, креативность, гибкость, дружелюбность, лидерские качества;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развитие у обучающихся технических способностей или набора навыков, которые легко определить количественно и которые можно наглядно продемонстрировать (Hard skills, «жёсткие навыки»): создание макетов и моделей, в т.ч. к</w:t>
            </w:r>
            <w:r>
              <w:rPr>
                <w:sz w:val="24"/>
                <w:szCs w:val="24"/>
              </w:rPr>
              <w:t xml:space="preserve">омпьютерных и математических; 3</w:t>
            </w:r>
            <w:r>
              <w:rPr>
                <w:sz w:val="24"/>
                <w:szCs w:val="24"/>
              </w:rPr>
              <w:t xml:space="preserve">-D моделирование; прототипирование; навыки работы на компьютерной технике и лабораторном оборудовании; постановка опытов и экспериментов; математический анализ и синтез информации;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подготовка к поступлению в образовательные организации высшего образования (далее - вуз) в части формирования навыков, необходимых для обучения на протяжении всей жизни;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</w:t>
            </w:r>
            <w:r>
              <w:rPr>
                <w:sz w:val="24"/>
                <w:szCs w:val="24"/>
              </w:rPr>
              <w:tab/>
              <w:t xml:space="preserve">для организаций реального сектора экономики -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подготовка будущих абитуриентов по профессиональным квалификациям, потенциально интересным для предприятия;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подбор кандидатов для целевой подготовки профессиональных кадров для нужд предприятия (в том числе через механизм отложенных трудовых контрактов);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создание и реализация образовательных модулей в рамках опережающей кадровой политики предприятий;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участие в разработке и реализации дополнительных общеобразовательных программ, актуальных своим содержанием для организаций и предприятий-партнёров.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</w:t>
            </w:r>
            <w:r>
              <w:rPr>
                <w:sz w:val="24"/>
                <w:szCs w:val="24"/>
              </w:rPr>
              <w:tab/>
              <w:t xml:space="preserve">для вузов –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выявление, подготовка и мотивация лучших обучающихся для получения высшего образования;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сближение получаемых знаний, навыков и компетенций с требованиями будущей образовательной программой высшего профессионального образования;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ab/>
              <w:t xml:space="preserve">обеспечение условий для прохождения студентами старших курсов, аспирантам, молодым специалистам и ученым педагогической практики и отработки профессиональных навыков в работе с обучающимися.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условиях эффективного управления динам</w:t>
            </w:r>
            <w:r>
              <w:rPr>
                <w:sz w:val="24"/>
                <w:szCs w:val="24"/>
              </w:rPr>
              <w:t xml:space="preserve">ика развития ИТШ </w:t>
            </w:r>
            <w:r>
              <w:rPr>
                <w:sz w:val="24"/>
                <w:szCs w:val="24"/>
              </w:rPr>
              <w:t xml:space="preserve">№ 777 </w:t>
            </w:r>
            <w:r>
              <w:rPr>
                <w:sz w:val="24"/>
                <w:szCs w:val="24"/>
              </w:rPr>
              <w:t xml:space="preserve">обеспечивается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5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поддержанием ключевой роли стейкхолдеров, то есть практически всех от родителей и школьников (на уровне граждан), социальных партнёров (бизнес-структуры, образовательные организации высшего и дополнительного профессионального образования, </w:t>
            </w:r>
            <w:r>
              <w:rPr>
                <w:sz w:val="24"/>
                <w:szCs w:val="24"/>
              </w:rPr>
              <w:t xml:space="preserve">инновационные научные центры, высокотехнологичные предприятия, исследовательские институты и др.) и до государственных органов власти и министерств;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5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реализацией принципов общественного участия в управлении ИТШ</w:t>
            </w:r>
            <w:r>
              <w:rPr>
                <w:sz w:val="24"/>
                <w:szCs w:val="24"/>
              </w:rPr>
              <w:t xml:space="preserve"> № 777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5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поддержанием эффективного партнерства между всеми уровнями образовательной системы ИТШ</w:t>
            </w:r>
            <w:r>
              <w:rPr>
                <w:sz w:val="24"/>
                <w:szCs w:val="24"/>
              </w:rPr>
              <w:t xml:space="preserve"> № 777</w:t>
            </w:r>
            <w:r>
              <w:rPr>
                <w:sz w:val="24"/>
                <w:szCs w:val="24"/>
              </w:rPr>
              <w:t xml:space="preserve">, самое важное – это сотрудничество и совместная работа;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5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развитием критического и творческого мышления – это качества и компетенции, которые развиваются с раннего возраста;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5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популяризацией успешных практик с применением СМИ и других инструментов создания дискурса;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5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ориентация системы образования ИТШ</w:t>
            </w:r>
            <w:r>
              <w:rPr>
                <w:sz w:val="24"/>
                <w:szCs w:val="24"/>
              </w:rPr>
              <w:t xml:space="preserve"> № 777</w:t>
            </w:r>
            <w:r>
              <w:rPr>
                <w:sz w:val="24"/>
                <w:szCs w:val="24"/>
              </w:rPr>
              <w:t xml:space="preserve"> на достижение высших результатов.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551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46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распространении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инновационного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опыта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Инновационные опыт и успешные педагогичес</w:t>
            </w:r>
            <w:r>
              <w:rPr>
                <w:sz w:val="24"/>
                <w:szCs w:val="24"/>
              </w:rPr>
              <w:t xml:space="preserve">кие практики ИТШ № 777 получили признание профессионального педагогического сообщества Санкт-Петербурга. Разработанный инновационный продукт получил высокую оценку и стал лауреатом конкурса инновационных продуктов «Петербургская школа 2020» в номинации «Об</w:t>
            </w:r>
            <w:r>
              <w:rPr>
                <w:sz w:val="24"/>
                <w:szCs w:val="24"/>
              </w:rPr>
              <w:t xml:space="preserve">разование» (2019 г.): проект «Петербургская школа XXI века: образовательная экосистема инженерно-технологической школы». На конкурс результатов инновационной деятельности государственных образовательных организаций Санкт-Петербурга «Сильные решения» в 2022</w:t>
            </w:r>
            <w:r>
              <w:rPr>
                <w:sz w:val="24"/>
                <w:szCs w:val="24"/>
              </w:rPr>
              <w:t xml:space="preserve"> и 2023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  <w:t xml:space="preserve"> были представлены методические рекомендации по развитию инженерных компетенций одарённых и высокомотивированных школьников. Инновационны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продукт</w:t>
            </w:r>
            <w:r>
              <w:rPr>
                <w:sz w:val="24"/>
                <w:szCs w:val="24"/>
              </w:rPr>
              <w:t xml:space="preserve">ы</w:t>
            </w:r>
            <w:r>
              <w:rPr>
                <w:sz w:val="24"/>
                <w:szCs w:val="24"/>
              </w:rPr>
              <w:t xml:space="preserve"> стал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абсолютным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 победител</w:t>
            </w:r>
            <w:r>
              <w:rPr>
                <w:sz w:val="24"/>
                <w:szCs w:val="24"/>
              </w:rPr>
              <w:t xml:space="preserve">ями</w:t>
            </w:r>
            <w:r>
              <w:rPr>
                <w:sz w:val="24"/>
                <w:szCs w:val="24"/>
              </w:rPr>
              <w:t xml:space="preserve"> в номинации «Инновации в области работы с одарёнными детьми».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Образовательное учреждение работает в статусе региональной инновационной площа</w:t>
            </w:r>
            <w:r>
              <w:rPr>
                <w:sz w:val="24"/>
                <w:szCs w:val="24"/>
              </w:rPr>
              <w:t xml:space="preserve">дки (2021-2023 гг.), целью проекта опытно-экспериментальной работы является создание информационно-образовательного сервиса, обеспечивающего реализацию профессиональной деятельности педагога в цифровой образовательной среде и его профессиональный рост; инн</w:t>
            </w:r>
            <w:r>
              <w:rPr>
                <w:sz w:val="24"/>
                <w:szCs w:val="24"/>
              </w:rPr>
              <w:t xml:space="preserve">овационной площадки федерального государственного бюджетного научного учреждения «Институт изучения детства, семьи и воспитания Российской академии образования»: направление «Научно-методические основы воспитания обучающихся в условиях общеобразовательной </w:t>
            </w:r>
            <w:r>
              <w:rPr>
                <w:sz w:val="24"/>
                <w:szCs w:val="24"/>
              </w:rPr>
              <w:t xml:space="preserve">организации» (2021 г.); региональной стажировочной площадки (2022-2023гг.).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инновационной деятельности </w:t>
            </w:r>
            <w:r>
              <w:rPr>
                <w:sz w:val="24"/>
                <w:szCs w:val="24"/>
              </w:rPr>
              <w:t xml:space="preserve">ИТШ</w:t>
            </w:r>
            <w:r>
              <w:rPr>
                <w:sz w:val="24"/>
                <w:szCs w:val="24"/>
              </w:rPr>
              <w:t xml:space="preserve"> № 777 были представлены в различных форматах на всероссийских и международных площадках (Петербургский международный образовательный форум, Московский международный салон образования, Международный форум-выставка «Российский промышленник», </w:t>
            </w:r>
            <w:r>
              <w:rPr>
                <w:sz w:val="24"/>
                <w:szCs w:val="24"/>
              </w:rPr>
              <w:t xml:space="preserve">Чемпионат «Профессионалы», </w:t>
            </w:r>
            <w:r>
              <w:rPr>
                <w:sz w:val="24"/>
                <w:szCs w:val="24"/>
              </w:rPr>
              <w:t xml:space="preserve">конкурсы, конференции, публикации и др.).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ИТШ</w:t>
            </w:r>
            <w:r>
              <w:rPr>
                <w:sz w:val="24"/>
                <w:szCs w:val="24"/>
              </w:rPr>
              <w:t xml:space="preserve"> № 777 является площадкой для проведения Открытого регионального чемпионата «Молодые профессионалы» в Санкт-Петербурге по компетенции «Промышленная робототехника - юниоры», региональный оператор </w:t>
            </w:r>
            <w:r>
              <w:rPr>
                <w:sz w:val="24"/>
                <w:szCs w:val="24"/>
              </w:rPr>
              <w:t xml:space="preserve">НТО</w:t>
            </w:r>
            <w:r>
              <w:rPr>
                <w:sz w:val="24"/>
                <w:szCs w:val="24"/>
              </w:rPr>
              <w:t xml:space="preserve">, сертифицированная площадка подготовки </w:t>
            </w:r>
            <w:r>
              <w:rPr>
                <w:sz w:val="24"/>
                <w:szCs w:val="24"/>
              </w:rPr>
              <w:t xml:space="preserve">НТО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ИТШ № 777 ежегодно организует и проводит методический марафон для педагогов «Ин</w:t>
            </w:r>
            <w:r>
              <w:rPr>
                <w:sz w:val="24"/>
                <w:szCs w:val="24"/>
              </w:rPr>
              <w:t xml:space="preserve">женерное образование в школе: 13</w:t>
            </w:r>
            <w:r>
              <w:rPr>
                <w:sz w:val="24"/>
                <w:szCs w:val="24"/>
              </w:rPr>
              <w:t xml:space="preserve"> содержательных контентов». В течение трёх дней для педагогов дополнительного образования, учителей и всех заинтересованных специалистов работают двенадцать мастерских: «Интернет вещей»,</w:t>
            </w:r>
            <w:r>
              <w:rPr>
                <w:sz w:val="24"/>
                <w:szCs w:val="24"/>
              </w:rPr>
              <w:t xml:space="preserve"> «Нейротехнологии», «Интеллектуальные энергетические системы», «Агролаборатории», «VR в общем образовании», «Прием и обработка космических снимков», «Спутникостроение», «Промышленная робототехника», «Роботрек», «БПЛА», «Беспилотный транспорт», «3D-прототип</w:t>
            </w:r>
            <w:r>
              <w:rPr>
                <w:sz w:val="24"/>
                <w:szCs w:val="24"/>
              </w:rPr>
              <w:t xml:space="preserve">ирование» и «ЧПУ». Обучение проходить под руководством педагогов и учителей ИТШ № 777, представителей ведущих вузов Санкт-Петербурга, разработчиков оборудования. В интенсивах приняло участие свыше 300 педагогов образовательных организаций Санкт-Петербурга.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ИТШ № 777 совместно с Санкт-Петербургским государственным электротехническим университетом «ЛЭТИ», Международной общественной </w:t>
            </w:r>
            <w:r>
              <w:rPr>
                <w:sz w:val="24"/>
                <w:szCs w:val="24"/>
              </w:rPr>
              <w:t xml:space="preserve">организацией «Академия навигации и управления движением» (АНУД) ежегодно проводит Всероссийскую научно-практическую конференцию школьников «Школьная лига ИТШ-ЛЭТИ». Партнерами конференции выступают АО «Концерн «ЦНИИ «Электроприбор», АО «НПП «Радар ммс», ОО</w:t>
            </w:r>
            <w:r>
              <w:rPr>
                <w:sz w:val="24"/>
                <w:szCs w:val="24"/>
              </w:rPr>
              <w:t xml:space="preserve">О «Технологические системы и комплексы», АО «Концерн «Океанприбор», ООО «ТехноТерра», АО «НовБытХим», институт кардиологической техники «ИНКАРТ». Сотни учащихся уже представили на конференции результаты своей учебно-исследовательской деятельности, которые </w:t>
            </w:r>
            <w:r>
              <w:rPr>
                <w:sz w:val="24"/>
                <w:szCs w:val="24"/>
              </w:rPr>
              <w:t xml:space="preserve">прошли квалифицированную экспертизу и получили оценку специалистов высшей школы и высокотехнологичных предприятий Санкт-Петербурга.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2022 году коллективом ИТШ № 777 был реализован пилотный проект Всероссийских междисциплинарных технологических соревнований для обучающихся «Техно-вызов: инженеры будущего». В пилотном про</w:t>
            </w:r>
            <w:r>
              <w:rPr>
                <w:sz w:val="24"/>
                <w:szCs w:val="24"/>
              </w:rPr>
              <w:t xml:space="preserve">екте соревнований приняли участие почти 300 человек из Санкт-Петербурга и 15 регионов Российской Федерации, обучающиеся 37 образовательных организаций Консорциума по развитию школьного инженерно-технологического образования. Учредителями проекта выступили </w:t>
            </w:r>
            <w:r>
              <w:rPr>
                <w:sz w:val="24"/>
                <w:szCs w:val="24"/>
              </w:rPr>
              <w:t xml:space="preserve">ИТШ</w:t>
            </w:r>
            <w:r>
              <w:rPr>
                <w:sz w:val="24"/>
                <w:szCs w:val="24"/>
              </w:rPr>
              <w:t xml:space="preserve"> № 777, компания R:ED Robotics Education международного холдинга «Арман» и ООО «Каурус-Альянс».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Петербургского международного образовательного форума </w:t>
            </w:r>
            <w:r>
              <w:rPr>
                <w:sz w:val="24"/>
                <w:szCs w:val="24"/>
              </w:rPr>
              <w:t xml:space="preserve">ИТШ</w:t>
            </w:r>
            <w:r>
              <w:rPr>
                <w:sz w:val="24"/>
                <w:szCs w:val="24"/>
              </w:rPr>
              <w:t xml:space="preserve"> № 777 проводит Всероссийский форум инноваций «Интеллект будущего», который включает конкурс «Я – исследователь», научно-практическую кон</w:t>
            </w:r>
            <w:r>
              <w:rPr>
                <w:sz w:val="24"/>
                <w:szCs w:val="24"/>
              </w:rPr>
              <w:t xml:space="preserve">ференцию «Проектирование будущего. Инженерно-технологическое образование», ученический форсайт «Устремлённые в будущее», выставку научно-технического творчества «Атлас профессий» (для обучающихся), выставку научно-технического творчества «ПитерТехноЛаб», к</w:t>
            </w:r>
            <w:r>
              <w:rPr>
                <w:sz w:val="24"/>
                <w:szCs w:val="24"/>
              </w:rPr>
              <w:t xml:space="preserve">онкурс научно-технических проектов учащихся «Таланты XXI века», конференцию Кружкового движения НТИ и др. В мероприятиях уже приняли участие свыше 600 руководителей, специалистов и обучающихся образовательных организаций Санкт-Петербурга и регионов России.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сентября 2019 года был создан Консорциум по развитию школьного инженерно-технологического образования. Учредителем Консорциума стала </w:t>
            </w:r>
            <w:r>
              <w:rPr>
                <w:sz w:val="24"/>
                <w:szCs w:val="24"/>
              </w:rPr>
              <w:t xml:space="preserve">ИТШ № </w:t>
            </w:r>
            <w:r>
              <w:rPr>
                <w:sz w:val="24"/>
                <w:szCs w:val="24"/>
              </w:rPr>
              <w:t xml:space="preserve">777. Сегодня Консорциум – это 100 ведущих организаций Российской Федерации - 76 школ, 10 вузов, 7 колледжей, Центр дополнительного образования детей, 2 учреждения повышения профессионального образования </w:t>
            </w:r>
            <w:r>
              <w:rPr>
                <w:sz w:val="24"/>
                <w:szCs w:val="24"/>
              </w:rPr>
              <w:t xml:space="preserve">педагогов, 2 предприятия высокотехнологичных отраслей промышленности, Партнерство политехнических школ Якутии, Всероссийский образовательный проект из 25 регионов страны, Республик Беларусь и Кыргызстан, а также 156 партнёров ИТШ по сетевому взаимодействию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 рамках Консорциума осуществляется сетевое взаимодействие, интеграция основного и дополнительного образования, кооперация с вузами и научными организациями.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Консорциум осуществляет диссеминацию </w:t>
            </w:r>
            <w:r>
              <w:rPr>
                <w:sz w:val="24"/>
                <w:szCs w:val="24"/>
              </w:rPr>
              <w:t xml:space="preserve">инновационного педагогического опыта, организует и проводит профессиональные конкурсы и педагогические конференции, обучающие мероприятия для школьников, конкурсные мероприятия для обучающихся.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Консорциум учредил сетевое издание «Инженер. Ру», где представлены новости и все актуальные материалы деятельности Консорциума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За три года руководители и педагоги образовательных организаций подготовили и опубликовали 240 методических разработок по различным направлениям профессиональной деятельности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 2019 по 2023 гг. Консорциум провел </w:t>
            </w:r>
            <w:r>
              <w:rPr>
                <w:sz w:val="24"/>
                <w:szCs w:val="24"/>
              </w:rPr>
              <w:t xml:space="preserve">13 заседаний руководителей образовательных организаций-участников Консорциума; </w:t>
            </w:r>
            <w:r>
              <w:rPr>
                <w:sz w:val="24"/>
                <w:szCs w:val="24"/>
              </w:rPr>
              <w:t xml:space="preserve">82 онлайн-мероприятия для обучающихся (онлайн-игры, квесты, конкурсы технического творчества, научно-практические конференции); 12 конкурсов профессионального мастерства; 57 межрегиональных практико-ориентированных вебинаров для педагогических работников; </w:t>
            </w:r>
            <w:r>
              <w:rPr>
                <w:sz w:val="24"/>
                <w:szCs w:val="24"/>
              </w:rPr>
              <w:t xml:space="preserve">опубликовано </w:t>
            </w:r>
            <w:r>
              <w:rPr>
                <w:sz w:val="24"/>
                <w:szCs w:val="24"/>
              </w:rPr>
              <w:t xml:space="preserve">320 методических разработок по направлениям профессиональной деятел</w:t>
            </w:r>
            <w:r>
              <w:rPr>
                <w:sz w:val="24"/>
                <w:szCs w:val="24"/>
              </w:rPr>
              <w:t xml:space="preserve">ьности: интеграция основного и дополнительного образования, реализация инженерного образования в урочной деятельности, теория и методика обучения и воспитания будущего инженера, формирование основ инженерного мышления школьников во внеурочной деятельности.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815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46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подтверждающие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эффективность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внедрения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инновации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практику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общеобразовательных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учреждений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Эффективность деятельности администрации и коллектива </w:t>
            </w:r>
            <w:r>
              <w:rPr>
                <w:sz w:val="24"/>
                <w:szCs w:val="24"/>
              </w:rPr>
              <w:t xml:space="preserve">по реализации модели социального партнёрства и сетевого взаимодействия </w:t>
            </w:r>
            <w:r>
              <w:rPr>
                <w:sz w:val="24"/>
                <w:szCs w:val="24"/>
              </w:rPr>
              <w:t xml:space="preserve">подтверждается результатами развития </w:t>
            </w:r>
            <w:r>
              <w:rPr>
                <w:sz w:val="24"/>
                <w:szCs w:val="24"/>
              </w:rPr>
              <w:t xml:space="preserve">ИТШ</w:t>
            </w:r>
            <w:r>
              <w:rPr>
                <w:sz w:val="24"/>
                <w:szCs w:val="24"/>
              </w:rPr>
              <w:t xml:space="preserve"> № 777, среди которых: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ТОП-100 Юниорского движения WorldSkills;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ТОП-10 лучших образовательных учреждений медального зачёта VII открытого регионального чемпионата «Молодые профессионалы» в Санкт-Петербурге;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ТОП-100 рейтинга образовательных организаций юниорского движения Ворлдскиллс Россия;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городского конкурса детских социальных проектов и инициатив «Дети - детям»;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Призёр Всероссийского конкурса кружков в номинации «Среда развития научно-технического творчества»;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ТОП-25 Всероссийского конкурса «Лучшие цифровые практики в школьном образовании»;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Всероссийского конкурса педагогической журналистики "ПРО ОБРАЗОВАНИЕ - 2021" в номинации "Лучший медиапроект образовательной организации";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XIV Всероссийского фестиваля школьных СМИ в номинации «Лучший школьный </w:t>
            </w:r>
            <w:r>
              <w:rPr>
                <w:sz w:val="24"/>
                <w:szCs w:val="24"/>
              </w:rPr>
              <w:t xml:space="preserve">медиа-холдинг</w:t>
            </w:r>
            <w:r>
              <w:rPr>
                <w:sz w:val="24"/>
                <w:szCs w:val="24"/>
              </w:rPr>
              <w:t xml:space="preserve">»;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Призёр Городского смотра-конкурса «ТОП-50 лучших отделений дополнительного образования общеобразовательных учреждений Санкт-Петербурга»;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numPr>
                <w:ilvl w:val="0"/>
                <w:numId w:val="16"/>
              </w:numPr>
              <w:ind w:left="42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ТОП-10 образовательных организаций по количеству выданных знаков отличия «Юниор» движения WorldSkills Russia.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6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ИТШ № 777</w:t>
            </w:r>
            <w:r>
              <w:rPr>
                <w:sz w:val="24"/>
                <w:szCs w:val="24"/>
              </w:rPr>
              <w:t xml:space="preserve"> создано и</w:t>
            </w:r>
            <w:r>
              <w:rPr>
                <w:sz w:val="24"/>
                <w:szCs w:val="24"/>
              </w:rPr>
              <w:t xml:space="preserve"> работает Школьное научное общество «Малая академия наук «Альтаир».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6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олимпиада школьников (2023г.): районный этап – 44 победителя, 103 призёра, городской этап – 4 победителя 9 призёров, всероссийский этап – 2 победителя, 1 призёр.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6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Научно</w:t>
            </w:r>
            <w:r>
              <w:rPr>
                <w:sz w:val="24"/>
                <w:szCs w:val="24"/>
              </w:rPr>
              <w:t xml:space="preserve">-практические конференции</w:t>
            </w:r>
            <w:r>
              <w:rPr>
                <w:sz w:val="24"/>
                <w:szCs w:val="24"/>
              </w:rPr>
              <w:t xml:space="preserve"> (2023г): 1143 </w:t>
            </w:r>
            <w:r>
              <w:rPr>
                <w:sz w:val="24"/>
                <w:szCs w:val="24"/>
              </w:rPr>
              <w:t xml:space="preserve">участника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6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Диссеминация инновационного педагогического опыта: 37 семинаров, свыше 2000 участников, 410 публикаций. Чемпионат по профессиональному мастерству «Профессионалы»: участие школьников в 33 компетенциях, 8 золотых, 8 серебряных, 12 бронзовых медалей.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68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НТО: 117 участников отборочного этапа, 62 участника второго этапа, 34 финалиста, 5 победителей и призёров.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556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50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Прогноз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результатах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спроса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полученные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результаты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(продукты)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результатам тестирования учащихся 8–11 классов петербургских школ в 2022 году, 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ехнологический (инженерный) профиль обучения </w:t>
            </w:r>
            <w:r>
              <w:rPr>
                <w:sz w:val="24"/>
                <w:szCs w:val="24"/>
              </w:rPr>
              <w:t xml:space="preserve">школьники </w:t>
            </w:r>
            <w:r>
              <w:rPr>
                <w:sz w:val="24"/>
                <w:szCs w:val="24"/>
              </w:rPr>
              <w:t xml:space="preserve">назвали приоритетным среди направлений будущей</w:t>
            </w:r>
            <w:r>
              <w:rPr>
                <w:sz w:val="24"/>
                <w:szCs w:val="24"/>
              </w:rPr>
              <w:t xml:space="preserve"> профессиональной деятельности. </w:t>
            </w:r>
            <w:r>
              <w:rPr>
                <w:sz w:val="24"/>
                <w:szCs w:val="24"/>
              </w:rPr>
              <w:t xml:space="preserve">Это подтверждается и прогнозом потребности в </w:t>
            </w:r>
            <w:r>
              <w:rPr>
                <w:sz w:val="24"/>
                <w:szCs w:val="24"/>
              </w:rPr>
              <w:t xml:space="preserve">инженерных </w:t>
            </w:r>
            <w:r>
              <w:rPr>
                <w:sz w:val="24"/>
                <w:szCs w:val="24"/>
              </w:rPr>
              <w:t xml:space="preserve">кадрах для будущих работодателей.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</w:t>
            </w:r>
            <w:r>
              <w:rPr>
                <w:sz w:val="24"/>
                <w:szCs w:val="24"/>
              </w:rPr>
              <w:t xml:space="preserve">представленной </w:t>
            </w:r>
            <w:r>
              <w:rPr>
                <w:sz w:val="24"/>
                <w:szCs w:val="24"/>
              </w:rPr>
              <w:t xml:space="preserve">практики</w:t>
            </w:r>
            <w:r>
              <w:rPr>
                <w:sz w:val="24"/>
                <w:szCs w:val="24"/>
              </w:rPr>
              <w:t xml:space="preserve"> способствует развитию системы образования Санкт-Петербурга и направлено на решение актуальных задач развития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инженерного </w:t>
            </w:r>
            <w:r>
              <w:rPr>
                <w:sz w:val="24"/>
                <w:szCs w:val="24"/>
              </w:rPr>
              <w:t xml:space="preserve">образования</w:t>
            </w:r>
            <w:r>
              <w:rPr>
                <w:sz w:val="24"/>
                <w:szCs w:val="24"/>
              </w:rPr>
              <w:t xml:space="preserve"> школьников, </w:t>
            </w:r>
            <w:r>
              <w:rPr>
                <w:sz w:val="24"/>
                <w:szCs w:val="24"/>
              </w:rPr>
              <w:t xml:space="preserve">творческих способностей</w:t>
            </w:r>
            <w:r>
              <w:rPr>
                <w:sz w:val="24"/>
                <w:szCs w:val="24"/>
              </w:rPr>
              <w:t xml:space="preserve"> высокомотивированных учащихся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инновационной системы ранней профориентации.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Так</w:t>
            </w:r>
            <w:r>
              <w:rPr>
                <w:sz w:val="24"/>
                <w:szCs w:val="24"/>
              </w:rPr>
              <w:t xml:space="preserve">им образом</w:t>
            </w:r>
            <w:r>
              <w:rPr>
                <w:sz w:val="24"/>
                <w:szCs w:val="24"/>
              </w:rPr>
              <w:t xml:space="preserve"> обеспечен спрос на полученные результаты инновационной деятельности коллектива ИТШ </w:t>
            </w:r>
            <w:r>
              <w:rPr>
                <w:sz w:val="24"/>
                <w:szCs w:val="24"/>
              </w:rPr>
              <w:t xml:space="preserve">№ 777 </w:t>
            </w:r>
            <w:r>
              <w:rPr>
                <w:sz w:val="24"/>
                <w:szCs w:val="24"/>
              </w:rPr>
              <w:t xml:space="preserve">по представляемому направлению. 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Востребованность </w:t>
            </w:r>
            <w:r>
              <w:rPr>
                <w:sz w:val="24"/>
                <w:szCs w:val="24"/>
              </w:rPr>
              <w:t xml:space="preserve">практики в школах определяется </w:t>
            </w:r>
            <w:r>
              <w:rPr>
                <w:sz w:val="24"/>
                <w:szCs w:val="24"/>
              </w:rPr>
              <w:t xml:space="preserve">развитием сетевого сотрудничества</w:t>
            </w:r>
            <w:r>
              <w:rPr>
                <w:sz w:val="24"/>
                <w:szCs w:val="24"/>
              </w:rPr>
              <w:t xml:space="preserve">, созданием </w:t>
            </w:r>
            <w:r>
              <w:rPr>
                <w:sz w:val="24"/>
                <w:szCs w:val="24"/>
              </w:rPr>
              <w:t xml:space="preserve">образовательных кластеров, развив</w:t>
            </w:r>
            <w:r>
              <w:rPr>
                <w:sz w:val="24"/>
                <w:szCs w:val="24"/>
              </w:rPr>
              <w:t xml:space="preserve">ающих социально-коммуникативное </w:t>
            </w:r>
            <w:r>
              <w:rPr>
                <w:sz w:val="24"/>
                <w:szCs w:val="24"/>
              </w:rPr>
              <w:t xml:space="preserve">сотрудничество </w:t>
            </w:r>
            <w:r>
              <w:rPr>
                <w:sz w:val="24"/>
                <w:szCs w:val="24"/>
              </w:rPr>
              <w:t xml:space="preserve">школ</w:t>
            </w:r>
            <w:r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другими социальными институтами.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</w:t>
            </w:r>
            <w:r>
              <w:rPr>
                <w:sz w:val="24"/>
                <w:szCs w:val="24"/>
              </w:rPr>
              <w:t xml:space="preserve">отанная </w:t>
            </w:r>
            <w:r>
              <w:rPr>
                <w:sz w:val="24"/>
                <w:szCs w:val="24"/>
              </w:rPr>
              <w:t xml:space="preserve">система распространения </w:t>
            </w:r>
            <w:r>
              <w:rPr>
                <w:sz w:val="24"/>
                <w:szCs w:val="24"/>
              </w:rPr>
              <w:t xml:space="preserve">опыта позволит использовать результаты реализации проекта </w:t>
            </w:r>
            <w:r>
              <w:rPr>
                <w:sz w:val="24"/>
                <w:szCs w:val="24"/>
              </w:rPr>
              <w:t xml:space="preserve">специалистами в сфере управлени</w:t>
            </w:r>
            <w:r>
              <w:rPr>
                <w:sz w:val="24"/>
                <w:szCs w:val="24"/>
              </w:rPr>
              <w:t xml:space="preserve">я образованием, дополнительного </w:t>
            </w:r>
            <w:r>
              <w:rPr>
                <w:sz w:val="24"/>
                <w:szCs w:val="24"/>
              </w:rPr>
              <w:t xml:space="preserve">профессионального педагогического образования, педагогами и руководителями.</w:t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541"/>
        </w:trPr>
        <w:tc>
          <w:tcPr>
            <w:tcW w:w="3678" w:type="dxa"/>
            <w:textDirection w:val="lrTb"/>
            <w:noWrap w:val="false"/>
          </w:tcPr>
          <w:p>
            <w:pPr>
              <w:pStyle w:val="703"/>
              <w:ind w:left="151" w:right="131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Рекомендательные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письма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и/или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рецензии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научно-педагогического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сообщества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региона</w:t>
            </w:r>
            <w:r>
              <w:rPr>
                <w:sz w:val="24"/>
                <w:szCs w:val="24"/>
              </w:rPr>
            </w:r>
          </w:p>
        </w:tc>
        <w:tc>
          <w:tcPr>
            <w:tcW w:w="5962" w:type="dxa"/>
            <w:textDirection w:val="lrTb"/>
            <w:noWrap w:val="false"/>
          </w:tcPr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комитета по образованию.</w:t>
            </w:r>
            <w:r>
              <w:rPr>
                <w:sz w:val="24"/>
                <w:szCs w:val="24"/>
              </w:rPr>
            </w:r>
          </w:p>
          <w:p>
            <w:pPr>
              <w:pStyle w:val="703"/>
              <w:ind w:left="90" w:right="95"/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г</w:t>
            </w:r>
            <w:r>
              <w:rPr>
                <w:sz w:val="24"/>
                <w:szCs w:val="24"/>
              </w:rPr>
              <w:t xml:space="preserve">осударственно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 xml:space="preserve">го</w:t>
            </w:r>
            <w:r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дополнительного профессионального педагогического образования центр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 повыш</w:t>
            </w:r>
            <w:r>
              <w:rPr>
                <w:sz w:val="24"/>
                <w:szCs w:val="24"/>
              </w:rPr>
              <w:t xml:space="preserve">ения квалификации специалистов «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нформационно-методический центр»</w:t>
            </w:r>
            <w:r>
              <w:rPr>
                <w:sz w:val="24"/>
                <w:szCs w:val="24"/>
              </w:rPr>
              <w:t xml:space="preserve"> Калининского района Санкт-Петербурга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01"/>
        <w:jc w:val="both"/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>
        <w:rPr>
          <w:sz w:val="24"/>
          <w:szCs w:val="24"/>
        </w:rPr>
      </w:r>
    </w:p>
    <w:p>
      <w:pPr>
        <w:pStyle w:val="701"/>
        <w:jc w:val="both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ГБОУ «ИТШ № 777» Санкт-Петербурга ________________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Князева В.В.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p>
      <w:pPr>
        <w:pStyle w:val="701"/>
        <w:jc w:val="center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</w:p>
    <w:p>
      <w:pPr>
        <w:pStyle w:val="701"/>
        <w:jc w:val="both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Совета родителей</w:t>
      </w:r>
      <w:r>
        <w:rPr>
          <w:sz w:val="24"/>
          <w:szCs w:val="24"/>
        </w:rPr>
      </w:r>
    </w:p>
    <w:p>
      <w:pPr>
        <w:pStyle w:val="701"/>
        <w:jc w:val="both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ГБОУ «ИТШ № 777» Санкт-Петербурга</w:t>
      </w:r>
      <w:r>
        <w:rPr>
          <w:sz w:val="24"/>
          <w:szCs w:val="24"/>
        </w:rPr>
        <w:t xml:space="preserve"> _________________________________ (___________)</w:t>
      </w:r>
      <w:r>
        <w:rPr>
          <w:sz w:val="24"/>
          <w:szCs w:val="24"/>
        </w:rPr>
      </w:r>
    </w:p>
    <w:sectPr>
      <w:footerReference w:type="default" r:id="rId9"/>
      <w:footnotePr/>
      <w:endnotePr/>
      <w:type w:val="nextPage"/>
      <w:pgSz w:w="11910" w:h="16840" w:orient="portrait"/>
      <w:pgMar w:top="1701" w:right="1134" w:bottom="851" w:left="1134" w:header="0" w:footer="136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  <w:spacing w:line="14" w:lineRule="auto"/>
      <w:rPr>
        <w:sz w:val="2"/>
      </w:rPr>
    </w:pPr>
    <w:r>
      <w:rPr>
        <w:sz w:val="2"/>
      </w:rPr>
    </w:r>
    <w:r>
      <w:rPr>
        <w:sz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1050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50" w:hanging="489"/>
        <w:jc w:val="right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72" w:hanging="48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79" w:hanging="48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85" w:hanging="48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92" w:hanging="48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98" w:hanging="48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04" w:hanging="48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11" w:hanging="48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073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73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88" w:hanging="70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93" w:hanging="70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97" w:hanging="70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02" w:hanging="70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06" w:hanging="70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10" w:hanging="70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15" w:hanging="70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52" w:hanging="433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426" w:hanging="433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92" w:hanging="43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359" w:hanging="43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25" w:hanging="43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92" w:hanging="43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258" w:hanging="43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224" w:hanging="43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91" w:hanging="43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810" w:hanging="360"/>
      </w:pPr>
      <w:rPr>
        <w:rFonts w:hint="default" w:ascii="Times New Roman" w:hAnsi="Times New Roman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3" w:hanging="712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66" w:hanging="7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72" w:hanging="7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79" w:hanging="7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85" w:hanging="7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92" w:hanging="7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98" w:hanging="7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04" w:hanging="7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11" w:hanging="71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59" w:hanging="7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59" w:hanging="715"/>
        <w:jc w:val="left"/>
      </w:pPr>
      <w:rPr>
        <w:rFonts w:hint="default" w:ascii="Times New Roman" w:hAnsi="Times New Roman" w:eastAsia="Times New Roman" w:cs="Times New Roman"/>
        <w:sz w:val="29"/>
        <w:szCs w:val="29"/>
        <w:lang w:val="ru-RU" w:eastAsia="en-US" w:bidi="ar-SA"/>
      </w:rPr>
    </w:lvl>
    <w:lvl w:ilvl="2">
      <w:start w:val="4"/>
      <w:numFmt w:val="upperRoman"/>
      <w:isLgl w:val="false"/>
      <w:suff w:val="tab"/>
      <w:lvlText w:val="%3."/>
      <w:lvlJc w:val="left"/>
      <w:pPr>
        <w:ind w:left="3070" w:hanging="452"/>
        <w:jc w:val="right"/>
      </w:pPr>
      <w:rPr>
        <w:rFonts w:hint="default"/>
        <w:b/>
        <w:bCs/>
        <w:spacing w:val="-1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538" w:hanging="45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336" w:hanging="45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134" w:hanging="45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932" w:hanging="45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730" w:hanging="45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528" w:hanging="45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810" w:hanging="360"/>
      </w:pPr>
      <w:rPr>
        <w:rFonts w:hint="default" w:ascii="Times New Roman" w:hAnsi="Times New Roman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810" w:hanging="360"/>
      </w:pPr>
      <w:rPr>
        <w:rFonts w:hint="default" w:ascii="Times New Roman" w:hAnsi="Times New Roman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1034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34" w:hanging="630"/>
        <w:jc w:val="right"/>
      </w:pPr>
      <w:rPr>
        <w:rFonts w:hint="default" w:ascii="Times New Roman" w:hAnsi="Times New Roman" w:eastAsia="Times New Roman" w:cs="Times New Roman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56" w:hanging="63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65" w:hanging="63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73" w:hanging="63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82" w:hanging="63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90" w:hanging="63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98" w:hanging="63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07" w:hanging="63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810" w:hanging="360"/>
      </w:pPr>
      <w:rPr>
        <w:rFonts w:hint="default" w:ascii="Times New Roman" w:hAnsi="Times New Roman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810" w:hanging="360"/>
      </w:pPr>
      <w:rPr>
        <w:rFonts w:hint="default" w:ascii="Times New Roman" w:hAnsi="Times New Roman" w:eastAsia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78" w:hanging="360"/>
        <w:jc w:val="left"/>
      </w:pPr>
      <w:rPr>
        <w:rFonts w:hint="default"/>
        <w:b/>
        <w:bCs/>
        <w:spacing w:val="-1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7" w:hanging="720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44" w:hanging="597"/>
        <w:jc w:val="right"/>
      </w:pPr>
      <w:rPr>
        <w:rFonts w:hint="default" w:ascii="Times New Roman" w:hAnsi="Times New Roman" w:eastAsia="Times New Roman" w:cs="Times New Roman"/>
        <w:sz w:val="29"/>
        <w:szCs w:val="29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96" w:hanging="59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12" w:hanging="59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428" w:hanging="59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44" w:hanging="59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60" w:hanging="59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76" w:hanging="59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92" w:hanging="597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2552" w:hanging="712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416" w:hanging="7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272" w:hanging="7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129" w:hanging="7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985" w:hanging="7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842" w:hanging="7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698" w:hanging="7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554" w:hanging="7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411" w:hanging="71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07" w:hanging="232"/>
        <w:jc w:val="left"/>
      </w:pPr>
      <w:rPr>
        <w:rFonts w:hint="default" w:ascii="Times New Roman" w:hAnsi="Times New Roman" w:eastAsia="Times New Roman" w:cs="Times New Roman"/>
        <w:sz w:val="29"/>
        <w:szCs w:val="29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02" w:hanging="2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104" w:hanging="2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107" w:hanging="2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09" w:hanging="2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12" w:hanging="2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114" w:hanging="2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116" w:hanging="2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119" w:hanging="23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148" w:hanging="312"/>
        <w:jc w:val="right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3038" w:hanging="31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936" w:hanging="31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835" w:hanging="31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733" w:hanging="31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632" w:hanging="31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530" w:hanging="31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428" w:hanging="31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327" w:hanging="3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0"/>
  </w:num>
  <w:num w:numId="5">
    <w:abstractNumId w:val="12"/>
  </w:num>
  <w:num w:numId="6">
    <w:abstractNumId w:val="4"/>
  </w:num>
  <w:num w:numId="7">
    <w:abstractNumId w:val="13"/>
  </w:num>
  <w:num w:numId="8">
    <w:abstractNumId w:val="15"/>
  </w:num>
  <w:num w:numId="9">
    <w:abstractNumId w:val="14"/>
  </w:num>
  <w:num w:numId="10">
    <w:abstractNumId w:val="1"/>
  </w:num>
  <w:num w:numId="11">
    <w:abstractNumId w:val="5"/>
  </w:num>
  <w:num w:numId="12">
    <w:abstractNumId w:val="3"/>
  </w:num>
  <w:num w:numId="13">
    <w:abstractNumId w:val="6"/>
  </w:num>
  <w:num w:numId="14">
    <w:abstractNumId w:val="7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7"/>
    <w:link w:val="69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5"/>
    <w:next w:val="69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5"/>
    <w:next w:val="69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5"/>
    <w:next w:val="69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5"/>
    <w:next w:val="69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5"/>
    <w:next w:val="69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5"/>
    <w:next w:val="69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5"/>
    <w:next w:val="69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5"/>
    <w:next w:val="69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5"/>
    <w:next w:val="69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7"/>
    <w:link w:val="34"/>
    <w:uiPriority w:val="10"/>
    <w:rPr>
      <w:sz w:val="48"/>
      <w:szCs w:val="48"/>
    </w:rPr>
  </w:style>
  <w:style w:type="paragraph" w:styleId="36">
    <w:name w:val="Subtitle"/>
    <w:basedOn w:val="695"/>
    <w:next w:val="69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7"/>
    <w:link w:val="36"/>
    <w:uiPriority w:val="11"/>
    <w:rPr>
      <w:sz w:val="24"/>
      <w:szCs w:val="24"/>
    </w:rPr>
  </w:style>
  <w:style w:type="paragraph" w:styleId="38">
    <w:name w:val="Quote"/>
    <w:basedOn w:val="695"/>
    <w:next w:val="69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5"/>
    <w:next w:val="69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7"/>
    <w:link w:val="42"/>
    <w:uiPriority w:val="99"/>
  </w:style>
  <w:style w:type="paragraph" w:styleId="44">
    <w:name w:val="Footer"/>
    <w:basedOn w:val="69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7"/>
    <w:link w:val="44"/>
    <w:uiPriority w:val="99"/>
  </w:style>
  <w:style w:type="paragraph" w:styleId="46">
    <w:name w:val="Caption"/>
    <w:basedOn w:val="695"/>
    <w:next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9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7"/>
    <w:uiPriority w:val="99"/>
    <w:unhideWhenUsed/>
    <w:rPr>
      <w:vertAlign w:val="superscript"/>
    </w:rPr>
  </w:style>
  <w:style w:type="paragraph" w:styleId="178">
    <w:name w:val="endnote text"/>
    <w:basedOn w:val="69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7"/>
    <w:uiPriority w:val="99"/>
    <w:semiHidden/>
    <w:unhideWhenUsed/>
    <w:rPr>
      <w:vertAlign w:val="superscript"/>
    </w:rPr>
  </w:style>
  <w:style w:type="paragraph" w:styleId="181">
    <w:name w:val="toc 1"/>
    <w:basedOn w:val="695"/>
    <w:next w:val="69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5"/>
    <w:next w:val="69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5"/>
    <w:next w:val="69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5"/>
    <w:next w:val="69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5"/>
    <w:next w:val="69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5"/>
    <w:next w:val="69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5"/>
    <w:next w:val="69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5"/>
    <w:next w:val="69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5"/>
    <w:next w:val="69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5"/>
    <w:next w:val="695"/>
    <w:uiPriority w:val="99"/>
    <w:unhideWhenUsed/>
    <w:pPr>
      <w:spacing w:after="0" w:afterAutospacing="0"/>
    </w:pPr>
  </w:style>
  <w:style w:type="paragraph" w:styleId="695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96">
    <w:name w:val="Heading 1"/>
    <w:basedOn w:val="695"/>
    <w:uiPriority w:val="1"/>
    <w:qFormat/>
    <w:pPr>
      <w:ind w:left="182"/>
      <w:jc w:val="both"/>
      <w:outlineLvl w:val="0"/>
    </w:pPr>
    <w:rPr>
      <w:b/>
      <w:bCs/>
      <w:sz w:val="29"/>
      <w:szCs w:val="29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table" w:styleId="700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01">
    <w:name w:val="Body Text"/>
    <w:basedOn w:val="695"/>
    <w:uiPriority w:val="1"/>
    <w:qFormat/>
    <w:rPr>
      <w:sz w:val="29"/>
      <w:szCs w:val="29"/>
    </w:rPr>
  </w:style>
  <w:style w:type="paragraph" w:styleId="702">
    <w:name w:val="List Paragraph"/>
    <w:basedOn w:val="695"/>
    <w:uiPriority w:val="1"/>
    <w:qFormat/>
    <w:pPr>
      <w:ind w:left="1524" w:hanging="433"/>
      <w:jc w:val="both"/>
    </w:pPr>
  </w:style>
  <w:style w:type="paragraph" w:styleId="703" w:customStyle="1">
    <w:name w:val="Table Paragraph"/>
    <w:basedOn w:val="695"/>
    <w:uiPriority w:val="1"/>
    <w:qFormat/>
  </w:style>
  <w:style w:type="character" w:styleId="704">
    <w:name w:val="Hyperlink"/>
    <w:basedOn w:val="697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info.itsh777@obr.gov.spb.ru" TargetMode="External"/><Relationship Id="rId11" Type="http://schemas.openxmlformats.org/officeDocument/2006/relationships/hyperlink" Target="https://school777.spb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Шерстова</dc:creator>
  <cp:lastModifiedBy>vko@effektiko.ru</cp:lastModifiedBy>
  <cp:revision>3</cp:revision>
  <dcterms:created xsi:type="dcterms:W3CDTF">2023-12-25T07:00:00Z</dcterms:created>
  <dcterms:modified xsi:type="dcterms:W3CDTF">2023-12-25T14:51:39Z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LastSaved">
    <vt:filetime>2023-10-17T00:00:00Z</vt:filetime>
  </property>
</Properties>
</file>