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</w:rPr>
      </w:pPr>
      <w:r>
        <w:rPr>
          <w:b/>
        </w:rPr>
        <w:t xml:space="preserve">Заявка на участие во всероссийском конкурсе «Вектор качества образования» (Карта инновации):</w:t>
      </w:r>
      <w:r/>
    </w:p>
    <w:p>
      <w:pPr>
        <w:rPr>
          <w:b/>
        </w:rPr>
      </w:pPr>
      <w:r>
        <w:rPr>
          <w:b/>
        </w:rPr>
      </w:r>
      <w:r/>
    </w:p>
    <w:tbl>
      <w:tblPr>
        <w:tblW w:w="0" w:type="auto"/>
        <w:tblInd w:w="-4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5103"/>
      </w:tblGrid>
      <w:tr>
        <w:trPr>
          <w:trHeight w:val="551"/>
        </w:trPr>
        <w:tc>
          <w:tcPr>
            <w:tcW w:w="4537" w:type="dxa"/>
            <w:textDirection w:val="lrTb"/>
            <w:noWrap w:val="false"/>
          </w:tcPr>
          <w:p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Полное наименование образовательной организации по уставу</w:t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Муниципальное бюджетное общеобразовательное учреждение лицей № 1 города Балтийска</w:t>
            </w:r>
            <w:r/>
          </w:p>
        </w:tc>
      </w:tr>
      <w:tr>
        <w:trPr>
          <w:trHeight w:val="551"/>
        </w:trPr>
        <w:tc>
          <w:tcPr>
            <w:tcW w:w="4537" w:type="dxa"/>
            <w:textDirection w:val="lrTb"/>
            <w:noWrap w:val="false"/>
          </w:tcPr>
          <w:p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Фамилия, имя, отчество руководителя образовательной организации</w:t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Яцыно Наталья Романовна</w:t>
            </w:r>
            <w:r/>
          </w:p>
        </w:tc>
      </w:tr>
      <w:tr>
        <w:trPr>
          <w:trHeight w:val="551"/>
        </w:trPr>
        <w:tc>
          <w:tcPr>
            <w:tcW w:w="4537" w:type="dxa"/>
            <w:textDirection w:val="lrTb"/>
            <w:noWrap w:val="false"/>
          </w:tcPr>
          <w:p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Контактные данные: почтовый адрес, телефон, адрес официального сайта, электронная почта</w:t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spacing w:line="276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Россия, 238520, Калининградская область, г. Балтийск, проспект Ленина, дом 41;</w:t>
            </w:r>
            <w:r/>
          </w:p>
          <w:p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тел. </w:t>
            </w:r>
            <w:r>
              <w:rPr>
                <w:rFonts w:cs="Times New Roman"/>
                <w:szCs w:val="24"/>
              </w:rPr>
              <w:t xml:space="preserve">8(40145) 3-11-57</w:t>
            </w:r>
            <w:r/>
          </w:p>
          <w:p>
            <w:pPr>
              <w:spacing w:line="276" w:lineRule="auto"/>
              <w:rPr>
                <w:rFonts w:eastAsia="Times New Roman" w:cs="Times New Roman"/>
                <w:szCs w:val="24"/>
                <w:lang w:eastAsia="ru-RU"/>
              </w:rPr>
            </w:pPr>
            <w:r/>
            <w:hyperlink r:id="rId8" w:tooltip="mailto:mail@licey-1.ru" w:history="1">
              <w:r>
                <w:rPr>
                  <w:rStyle w:val="602"/>
                  <w:rFonts w:eastAsia="Times New Roman" w:cs="Times New Roman"/>
                  <w:szCs w:val="24"/>
                  <w:lang w:val="en-US" w:eastAsia="ru-RU"/>
                </w:rPr>
                <w:t xml:space="preserve">mail</w:t>
              </w:r>
              <w:r>
                <w:rPr>
                  <w:rStyle w:val="602"/>
                  <w:rFonts w:eastAsia="Times New Roman" w:cs="Times New Roman"/>
                  <w:szCs w:val="24"/>
                  <w:lang w:eastAsia="ru-RU"/>
                </w:rPr>
                <w:t xml:space="preserve">@</w:t>
              </w:r>
              <w:r>
                <w:rPr>
                  <w:rStyle w:val="602"/>
                  <w:rFonts w:eastAsia="Times New Roman" w:cs="Times New Roman"/>
                  <w:szCs w:val="24"/>
                  <w:lang w:val="en-US" w:eastAsia="ru-RU"/>
                </w:rPr>
                <w:t xml:space="preserve">licey</w:t>
              </w:r>
              <w:r>
                <w:rPr>
                  <w:rStyle w:val="602"/>
                  <w:rFonts w:eastAsia="Times New Roman" w:cs="Times New Roman"/>
                  <w:szCs w:val="24"/>
                  <w:lang w:eastAsia="ru-RU"/>
                </w:rPr>
                <w:t xml:space="preserve">-1.</w:t>
              </w:r>
              <w:r>
                <w:rPr>
                  <w:rStyle w:val="602"/>
                  <w:rFonts w:eastAsia="Times New Roman" w:cs="Times New Roman"/>
                  <w:szCs w:val="24"/>
                  <w:lang w:val="en-US" w:eastAsia="ru-RU"/>
                </w:rPr>
                <w:t xml:space="preserve">ru</w:t>
              </w:r>
            </w:hyperlink>
            <w:r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/>
          </w:p>
          <w:p>
            <w:pPr>
              <w:spacing w:line="276" w:lineRule="auto"/>
              <w:rPr>
                <w:rFonts w:cs="Times New Roman"/>
                <w:szCs w:val="24"/>
              </w:rPr>
            </w:pPr>
            <w:r/>
            <w:hyperlink r:id="rId9" w:tooltip="http://www.licey-1.ru" w:history="1">
              <w:r>
                <w:rPr>
                  <w:rFonts w:eastAsia="Times New Roman" w:cs="Times New Roman"/>
                  <w:color w:val="0000ff"/>
                  <w:szCs w:val="24"/>
                  <w:u w:val="single"/>
                  <w:lang w:val="en-US" w:eastAsia="ru-RU"/>
                </w:rPr>
                <w:t xml:space="preserve">www</w:t>
              </w:r>
              <w:r>
                <w:rPr>
                  <w:rFonts w:eastAsia="Times New Roman" w:cs="Times New Roman"/>
                  <w:color w:val="0000ff"/>
                  <w:szCs w:val="24"/>
                  <w:u w:val="single"/>
                  <w:lang w:eastAsia="ru-RU"/>
                </w:rPr>
                <w:t xml:space="preserve">.licey-1.ru</w:t>
              </w:r>
            </w:hyperlink>
            <w:r/>
            <w:r/>
          </w:p>
        </w:tc>
      </w:tr>
      <w:tr>
        <w:trPr>
          <w:trHeight w:val="1102"/>
        </w:trPr>
        <w:tc>
          <w:tcPr>
            <w:tcW w:w="4537" w:type="dxa"/>
            <w:textDirection w:val="lrTb"/>
            <w:noWrap w:val="false"/>
          </w:tcPr>
          <w:p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Школа – территория больших возможностей</w:t>
            </w:r>
            <w:r/>
          </w:p>
        </w:tc>
      </w:tr>
      <w:tr>
        <w:trPr>
          <w:trHeight w:val="1033"/>
        </w:trPr>
        <w:tc>
          <w:tcPr>
            <w:tcW w:w="4537" w:type="dxa"/>
            <w:textDirection w:val="lrTb"/>
            <w:noWrap w:val="false"/>
          </w:tcPr>
          <w:p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Тема конкурсных материалов (тема инновации)</w:t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Реализация конвергентного подхода в интеграции основного и дополнительного образования</w:t>
            </w:r>
            <w:r/>
          </w:p>
        </w:tc>
      </w:tr>
      <w:tr>
        <w:trPr>
          <w:trHeight w:val="553"/>
        </w:trPr>
        <w:tc>
          <w:tcPr>
            <w:tcW w:w="4537" w:type="dxa"/>
            <w:textDirection w:val="lrTb"/>
            <w:noWrap w:val="false"/>
          </w:tcPr>
          <w:p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Автор / авторский коллектив представленной на конкурс инновации</w:t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Яцыно Наталья Романовна</w:t>
            </w:r>
            <w:r/>
          </w:p>
        </w:tc>
      </w:tr>
      <w:tr>
        <w:trPr>
          <w:trHeight w:val="827"/>
        </w:trPr>
        <w:tc>
          <w:tcPr>
            <w:tcW w:w="4537" w:type="dxa"/>
            <w:textDirection w:val="lrTb"/>
            <w:noWrap w:val="false"/>
          </w:tcPr>
          <w:p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Краткое описание инновации (цели, задачи, содержание работы, полученные результаты, эффекты)</w:t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Цель: с</w:t>
            </w:r>
            <w:r>
              <w:rPr>
                <w:rFonts w:cs="Times New Roman"/>
                <w:szCs w:val="24"/>
              </w:rPr>
              <w:t xml:space="preserve">оздание необходимых условий</w:t>
            </w:r>
            <w:r>
              <w:rPr>
                <w:rFonts w:cs="Times New Roman"/>
                <w:szCs w:val="24"/>
              </w:rPr>
              <w:t xml:space="preserve"> для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конвергентного подхода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через интеграцию основного и дополнительного образования общеобразовательного учреждения для удовлетворения потребностей в углубленном изучении </w:t>
            </w:r>
            <w:r>
              <w:rPr>
                <w:rFonts w:cs="Times New Roman"/>
                <w:szCs w:val="24"/>
              </w:rPr>
              <w:t xml:space="preserve">предметов</w:t>
            </w:r>
            <w:r>
              <w:rPr>
                <w:rFonts w:cs="Times New Roman"/>
                <w:szCs w:val="24"/>
              </w:rPr>
              <w:t xml:space="preserve"> по направлениям релевантным сквозным цифровым технологиям, личностного развития, позитивной социализации и профессионального самоопределения </w:t>
            </w:r>
            <w:r/>
          </w:p>
          <w:p>
            <w:pPr>
              <w:jc w:val="both"/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Задачи</w:t>
            </w:r>
            <w:r>
              <w:rPr>
                <w:rFonts w:cs="Times New Roman"/>
                <w:szCs w:val="24"/>
              </w:rPr>
              <w:t xml:space="preserve">:</w:t>
            </w:r>
            <w:r/>
          </w:p>
          <w:p>
            <w:pPr>
              <w:jc w:val="both"/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создание на базе лицея центра инновационной деятельности по интеграции основного и дополнительного образования углубленного изучения предметов</w:t>
            </w:r>
            <w:r>
              <w:rPr>
                <w:rFonts w:cs="Times New Roman"/>
                <w:szCs w:val="24"/>
              </w:rPr>
              <w:t xml:space="preserve">, основанной на конвергентном подходе к образованию</w:t>
            </w:r>
            <w:bookmarkStart w:id="0" w:name="_GoBack"/>
            <w:r/>
            <w:bookmarkEnd w:id="0"/>
            <w:r>
              <w:rPr>
                <w:rFonts w:cs="Times New Roman"/>
                <w:szCs w:val="24"/>
              </w:rPr>
              <w:t xml:space="preserve">;</w:t>
            </w:r>
            <w:r/>
          </w:p>
          <w:p>
            <w:pPr>
              <w:jc w:val="both"/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разработка и внедрение современных программ и технологий по дополнительному образованию по направлениям релевантным сквозным цифровым технологиям, образовательных форматов, событий и реальных практик;</w:t>
            </w:r>
            <w:r/>
          </w:p>
          <w:p>
            <w:pPr>
              <w:jc w:val="both"/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создание эффективной модели сетевой формы реализации дополнительных программ и сотрудничества с высшими учебными заведениями и образовательными площадками «</w:t>
            </w:r>
            <w:r>
              <w:rPr>
                <w:rFonts w:cs="Times New Roman"/>
                <w:szCs w:val="24"/>
              </w:rPr>
              <w:t xml:space="preserve">Кванториума</w:t>
            </w:r>
            <w:r>
              <w:rPr>
                <w:rFonts w:cs="Times New Roman"/>
                <w:szCs w:val="24"/>
              </w:rPr>
              <w:t xml:space="preserve">» на региональном уровне в условиях малого города и удаленности от областного центра;</w:t>
            </w:r>
            <w:r/>
          </w:p>
          <w:p>
            <w:pPr>
              <w:jc w:val="both"/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 преемственность на всех уровнях образования по формированию компетенций для профессионального самоопределения учащихся с ориентированием на экономику региона;</w:t>
            </w:r>
            <w:r/>
          </w:p>
          <w:p>
            <w:pPr>
              <w:jc w:val="both"/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-активное вовлечение работодателей в процесс опережающей подготовки кадровых ресурсов;  </w:t>
            </w:r>
            <w:r/>
          </w:p>
        </w:tc>
      </w:tr>
      <w:tr>
        <w:trPr>
          <w:trHeight w:val="551"/>
        </w:trPr>
        <w:tc>
          <w:tcPr>
            <w:tcW w:w="4537" w:type="dxa"/>
            <w:textDirection w:val="lrTb"/>
            <w:noWrap w:val="false"/>
          </w:tcPr>
          <w:p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Сведения о распространении инновационного опыта</w:t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Лицей-Федеральная инновационная площадка 2022г по теме инновации;</w:t>
            </w:r>
            <w:r/>
          </w:p>
          <w:p>
            <w:pPr>
              <w:jc w:val="both"/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Опыт представлен на стратегической сессии проекта «Вектор качества образования», 2021 в </w:t>
            </w:r>
            <w:r>
              <w:rPr>
                <w:rFonts w:cs="Times New Roman"/>
                <w:szCs w:val="24"/>
              </w:rPr>
              <w:t xml:space="preserve">г.Калининграде</w:t>
            </w:r>
            <w:r>
              <w:rPr>
                <w:rFonts w:cs="Times New Roman"/>
                <w:szCs w:val="24"/>
              </w:rPr>
              <w:t xml:space="preserve">, образовательных стажировках управленческих команд из Воронежа, Бурятии, Дальнего Востока и др. Дважды в рамках Петербургского международного образовательного форума, Московского международного салона образования, 2022</w:t>
            </w:r>
            <w:r/>
          </w:p>
        </w:tc>
      </w:tr>
      <w:tr>
        <w:trPr>
          <w:trHeight w:val="826"/>
        </w:trPr>
        <w:tc>
          <w:tcPr>
            <w:tcW w:w="4537" w:type="dxa"/>
            <w:textDirection w:val="lrTb"/>
            <w:noWrap w:val="false"/>
          </w:tcPr>
          <w:p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</w:t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рамках </w:t>
            </w:r>
            <w:r>
              <w:rPr>
                <w:rFonts w:cs="Times New Roman"/>
                <w:szCs w:val="24"/>
              </w:rPr>
              <w:t xml:space="preserve">деятельности </w:t>
            </w:r>
            <w:r>
              <w:rPr>
                <w:rFonts w:cs="Times New Roman"/>
                <w:szCs w:val="24"/>
              </w:rPr>
              <w:t xml:space="preserve">федеральной инновационной площадки</w:t>
            </w:r>
            <w:r>
              <w:rPr>
                <w:rFonts w:cs="Times New Roman"/>
                <w:szCs w:val="24"/>
              </w:rPr>
              <w:t xml:space="preserve"> по теме инновации</w:t>
            </w:r>
            <w:r>
              <w:rPr>
                <w:rFonts w:cs="Times New Roman"/>
                <w:szCs w:val="24"/>
              </w:rPr>
              <w:t xml:space="preserve"> был</w:t>
            </w:r>
            <w:r>
              <w:rPr>
                <w:rFonts w:cs="Times New Roman"/>
                <w:szCs w:val="24"/>
              </w:rPr>
              <w:t xml:space="preserve"> подготовлен отчёт за 2022 год. О</w:t>
            </w:r>
            <w:r>
              <w:rPr>
                <w:rFonts w:cs="Times New Roman"/>
                <w:szCs w:val="24"/>
              </w:rPr>
              <w:t xml:space="preserve">тчёт получил положительный отзыв, приказом Министерства просвещения РФ проект рекомендован к продолжению.</w:t>
            </w:r>
            <w:r/>
          </w:p>
          <w:p>
            <w:pPr>
              <w:jc w:val="both"/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Результаты ЕГЭ и </w:t>
            </w:r>
            <w:r>
              <w:rPr>
                <w:rFonts w:cs="Times New Roman"/>
                <w:szCs w:val="24"/>
              </w:rPr>
              <w:t xml:space="preserve">ОГЭ  по</w:t>
            </w:r>
            <w:r>
              <w:rPr>
                <w:rFonts w:cs="Times New Roman"/>
                <w:szCs w:val="24"/>
              </w:rPr>
              <w:t xml:space="preserve"> профильным предметам </w:t>
            </w:r>
            <w:r>
              <w:rPr>
                <w:rFonts w:cs="Times New Roman"/>
                <w:szCs w:val="24"/>
              </w:rPr>
              <w:t xml:space="preserve">существенно </w:t>
            </w:r>
            <w:r>
              <w:rPr>
                <w:rFonts w:cs="Times New Roman"/>
                <w:szCs w:val="24"/>
              </w:rPr>
              <w:t xml:space="preserve">выше региональных и  показателей РФ. Есть </w:t>
            </w:r>
            <w:r>
              <w:rPr>
                <w:rFonts w:cs="Times New Roman"/>
                <w:szCs w:val="24"/>
              </w:rPr>
              <w:t xml:space="preserve">положительная </w:t>
            </w:r>
            <w:r>
              <w:rPr>
                <w:rFonts w:cs="Times New Roman"/>
                <w:szCs w:val="24"/>
              </w:rPr>
              <w:t xml:space="preserve">динамика среднего балла по профильным предметам. Учащиеся- победители </w:t>
            </w:r>
            <w:r>
              <w:rPr>
                <w:rFonts w:cs="Times New Roman"/>
                <w:szCs w:val="24"/>
              </w:rPr>
              <w:t xml:space="preserve">хакатонов</w:t>
            </w:r>
            <w:r>
              <w:rPr>
                <w:rFonts w:cs="Times New Roman"/>
                <w:szCs w:val="24"/>
              </w:rPr>
              <w:t xml:space="preserve">, конкурсов, олимпиад, успешно представляют проекты, подготовленные в условиях интеграции на конкурсах различного уровня.</w:t>
            </w:r>
            <w:r/>
          </w:p>
          <w:p>
            <w:pPr>
              <w:jc w:val="both"/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Проекты-</w:t>
            </w:r>
            <w:r>
              <w:rPr>
                <w:rFonts w:cs="Times New Roman"/>
                <w:szCs w:val="24"/>
              </w:rPr>
              <w:t xml:space="preserve">стартапы</w:t>
            </w:r>
            <w:r>
              <w:rPr>
                <w:rFonts w:cs="Times New Roman"/>
                <w:szCs w:val="24"/>
              </w:rPr>
              <w:t xml:space="preserve"> обучающихся получили поддержку фирм-партнеров, средства от продажи проектных продуктов отправляются на благотворительные цели. </w:t>
            </w:r>
            <w:r/>
          </w:p>
          <w:p>
            <w:pPr>
              <w:jc w:val="both"/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  <w:r/>
          </w:p>
        </w:tc>
      </w:tr>
      <w:tr>
        <w:trPr>
          <w:trHeight w:val="550"/>
        </w:trPr>
        <w:tc>
          <w:tcPr>
            <w:tcW w:w="4537" w:type="dxa"/>
            <w:textDirection w:val="lrTb"/>
            <w:noWrap w:val="false"/>
          </w:tcPr>
          <w:p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Прогноз о результатах спроса на полученные результаты (продукты)</w:t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jc w:val="both"/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рамках Федеральной инновационной площадки, к 2024 году будет подготовлен </w:t>
            </w:r>
            <w:r>
              <w:rPr>
                <w:rFonts w:cs="Times New Roman"/>
                <w:szCs w:val="24"/>
              </w:rPr>
              <w:t xml:space="preserve">методический сборник с описанием положительного опыта и рекомендаций</w:t>
            </w:r>
            <w:r>
              <w:rPr>
                <w:rFonts w:cs="Times New Roman"/>
                <w:szCs w:val="24"/>
              </w:rPr>
              <w:t xml:space="preserve">. Программы дополнительных программ, поддерживающие предметные результаты востребованы в регионе</w:t>
            </w:r>
            <w:r>
              <w:rPr>
                <w:rFonts w:cs="Times New Roman"/>
                <w:szCs w:val="24"/>
              </w:rPr>
              <w:t xml:space="preserve">. Создана сеть учебных фирм, состоящая из более 50 образовательных организаций РФ, включая НКО и бизнес.</w:t>
            </w:r>
            <w:r/>
          </w:p>
        </w:tc>
      </w:tr>
      <w:tr>
        <w:trPr>
          <w:trHeight w:val="550"/>
        </w:trPr>
        <w:tc>
          <w:tcPr>
            <w:tcW w:w="4537" w:type="dxa"/>
            <w:textDirection w:val="lrTb"/>
            <w:noWrap w:val="false"/>
          </w:tcPr>
          <w:p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Рекомендательные письма и/или рецензии научно-педагогического сообщества региона</w:t>
            </w:r>
            <w:r/>
          </w:p>
        </w:tc>
        <w:tc>
          <w:tcPr>
            <w:tcW w:w="5103" w:type="dxa"/>
            <w:textDirection w:val="lrTb"/>
            <w:noWrap w:val="false"/>
          </w:tcPr>
          <w:p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Участие в конкурсе рекомендовано Ассоциацией образовательных учреждений Калининградской области</w:t>
            </w:r>
            <w:r/>
          </w:p>
        </w:tc>
      </w:tr>
    </w:tbl>
    <w:p>
      <w:pPr>
        <w:spacing w:line="276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</w:r>
      <w:r/>
    </w:p>
    <w:p>
      <w:pPr>
        <w:spacing w:line="276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</w:r>
      <w:r/>
    </w:p>
    <w:p>
      <w:pPr>
        <w:spacing w:line="276" w:lineRule="auto"/>
        <w:rPr>
          <w:rFonts w:cs="Times New Roman"/>
          <w:b/>
          <w:szCs w:val="24"/>
        </w:rPr>
      </w:pPr>
      <w:r>
        <w:rPr>
          <w:rFonts w:cs="Times New Roman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99060</wp:posOffset>
                </wp:positionV>
                <wp:extent cx="1798320" cy="8890"/>
                <wp:effectExtent l="0" t="635" r="0" b="0"/>
                <wp:wrapTopAndBottom/>
                <wp:docPr id="1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0" o:spt="1" type="#_x0000_t1" style="position:absolute;z-index:-251659264;o:allowoverlap:true;o:allowincell:true;mso-position-horizontal-relative:page;margin-left:56.6pt;mso-position-horizontal:absolute;mso-position-vertical-relative:text;margin-top:7.8pt;mso-position-vertical:absolute;width:141.6pt;height:0.7pt;mso-wrap-distance-left:0.0pt;mso-wrap-distance-top:0.0pt;mso-wrap-distance-right:0.0pt;mso-wrap-distance-bottom:0.0pt;visibility:visible;" fillcolor="#000000" stroked="f">
                <w10:wrap type="topAndBottom"/>
              </v:shape>
            </w:pict>
          </mc:Fallback>
        </mc:AlternateContent>
      </w:r>
      <w:r>
        <w:rPr>
          <w:rFonts w:cs="Times New Roman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0288" behindDoc="1" locked="0" layoutInCell="1" allowOverlap="1">
                <wp:simplePos x="0" y="0"/>
                <wp:positionH relativeFrom="page">
                  <wp:posOffset>2967990</wp:posOffset>
                </wp:positionH>
                <wp:positionV relativeFrom="paragraph">
                  <wp:posOffset>99060</wp:posOffset>
                </wp:positionV>
                <wp:extent cx="1348740" cy="8890"/>
                <wp:effectExtent l="0" t="635" r="0" b="0"/>
                <wp:wrapTopAndBottom/>
                <wp:docPr id="2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1" type="#_x0000_t1" style="position:absolute;z-index:-251660288;o:allowoverlap:true;o:allowincell:true;mso-position-horizontal-relative:page;margin-left:233.7pt;mso-position-horizontal:absolute;mso-position-vertical-relative:text;margin-top:7.8pt;mso-position-vertical:absolute;width:106.2pt;height:0.7pt;mso-wrap-distance-left:0.0pt;mso-wrap-distance-top:0.0pt;mso-wrap-distance-right:0.0pt;mso-wrap-distance-bottom:0.0pt;visibility:visible;" fillcolor="#000000" stroked="f">
                <w10:wrap type="topAndBottom"/>
              </v:shape>
            </w:pict>
          </mc:Fallback>
        </mc:AlternateContent>
      </w:r>
      <w:r>
        <w:rPr>
          <w:rFonts w:cs="Times New Roman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1312" behindDoc="1" locked="0" layoutInCell="1" allowOverlap="1">
                <wp:simplePos x="0" y="0"/>
                <wp:positionH relativeFrom="page">
                  <wp:posOffset>4766310</wp:posOffset>
                </wp:positionH>
                <wp:positionV relativeFrom="paragraph">
                  <wp:posOffset>99060</wp:posOffset>
                </wp:positionV>
                <wp:extent cx="1798320" cy="8890"/>
                <wp:effectExtent l="3810" t="635" r="0" b="0"/>
                <wp:wrapTopAndBottom/>
                <wp:docPr id="3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1" type="#_x0000_t1" style="position:absolute;z-index:-251661312;o:allowoverlap:true;o:allowincell:true;mso-position-horizontal-relative:page;margin-left:375.3pt;mso-position-horizontal:absolute;mso-position-vertical-relative:text;margin-top:7.8pt;mso-position-vertical:absolute;width:141.6pt;height:0.7pt;mso-wrap-distance-left:0.0pt;mso-wrap-distance-top:0.0pt;mso-wrap-distance-right:0.0pt;mso-wrap-distance-bottom:0.0pt;visibility:visible;" fillcolor="#000000" stroked="f">
                <w10:wrap type="topAndBottom"/>
              </v:shape>
            </w:pict>
          </mc:Fallback>
        </mc:AlternateContent>
      </w:r>
      <w:r/>
    </w:p>
    <w:p>
      <w:pPr>
        <w:spacing w:line="276" w:lineRule="auto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должность руководителя</w:t>
      </w:r>
      <w:r>
        <w:rPr>
          <w:rFonts w:cs="Times New Roman"/>
          <w:i/>
          <w:szCs w:val="24"/>
        </w:rPr>
        <w:tab/>
        <w:t xml:space="preserve">подпись руководителя</w:t>
      </w:r>
      <w:r>
        <w:rPr>
          <w:rFonts w:cs="Times New Roman"/>
          <w:i/>
          <w:szCs w:val="24"/>
        </w:rPr>
        <w:tab/>
      </w:r>
      <w:r>
        <w:rPr>
          <w:rFonts w:cs="Times New Roman"/>
          <w:i/>
          <w:szCs w:val="24"/>
        </w:rPr>
        <w:tab/>
        <w:t xml:space="preserve">ФИО руководителя образовательной организации</w:t>
      </w:r>
      <w:r>
        <w:rPr>
          <w:rFonts w:cs="Times New Roman"/>
          <w:i/>
          <w:szCs w:val="24"/>
        </w:rPr>
        <w:tab/>
        <w:t xml:space="preserve">образовательной организации</w:t>
      </w:r>
      <w:r>
        <w:rPr>
          <w:rFonts w:cs="Times New Roman"/>
          <w:i/>
          <w:szCs w:val="24"/>
        </w:rPr>
        <w:tab/>
        <w:t xml:space="preserve">образовательной организации</w:t>
      </w:r>
      <w:r/>
    </w:p>
    <w:p>
      <w:pPr>
        <w:spacing w:line="276" w:lineRule="auto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М.П.</w:t>
      </w:r>
      <w:r/>
    </w:p>
    <w:p>
      <w:pPr>
        <w:spacing w:line="276" w:lineRule="auto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</w:r>
      <w:r/>
    </w:p>
    <w:p>
      <w:pPr>
        <w:spacing w:line="276" w:lineRule="auto"/>
        <w:rPr>
          <w:rFonts w:cs="Times New Roman"/>
          <w:i/>
          <w:szCs w:val="24"/>
        </w:rPr>
      </w:pPr>
      <w:r>
        <w:rPr>
          <w:rFonts w:cs="Times New Roman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116840</wp:posOffset>
                </wp:positionV>
                <wp:extent cx="1798320" cy="8890"/>
                <wp:effectExtent l="0" t="2540" r="0" b="0"/>
                <wp:wrapTopAndBottom/>
                <wp:docPr id="4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1" type="#_x0000_t1" style="position:absolute;z-index:-251662336;o:allowoverlap:true;o:allowincell:true;mso-position-horizontal-relative:page;margin-left:56.6pt;mso-position-horizontal:absolute;mso-position-vertical-relative:text;margin-top:9.2pt;mso-position-vertical:absolute;width:141.6pt;height:0.7pt;mso-wrap-distance-left:0.0pt;mso-wrap-distance-top:0.0pt;mso-wrap-distance-right:0.0pt;mso-wrap-distance-bottom:0.0pt;visibility:visible;" fillcolor="#000000" stroked="f">
                <w10:wrap type="topAndBottom"/>
              </v:shape>
            </w:pict>
          </mc:Fallback>
        </mc:AlternateContent>
      </w:r>
      <w:r>
        <w:rPr>
          <w:rFonts w:cs="Times New Roman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3360" behindDoc="1" locked="0" layoutInCell="1" allowOverlap="1">
                <wp:simplePos x="0" y="0"/>
                <wp:positionH relativeFrom="page">
                  <wp:posOffset>2967990</wp:posOffset>
                </wp:positionH>
                <wp:positionV relativeFrom="paragraph">
                  <wp:posOffset>116840</wp:posOffset>
                </wp:positionV>
                <wp:extent cx="1348740" cy="8890"/>
                <wp:effectExtent l="0" t="2540" r="0" b="0"/>
                <wp:wrapTopAndBottom/>
                <wp:docPr id="5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" o:spid="_x0000_s4" o:spt="1" type="#_x0000_t1" style="position:absolute;z-index:-251663360;o:allowoverlap:true;o:allowincell:true;mso-position-horizontal-relative:page;margin-left:233.7pt;mso-position-horizontal:absolute;mso-position-vertical-relative:text;margin-top:9.2pt;mso-position-vertical:absolute;width:106.2pt;height:0.7pt;mso-wrap-distance-left:0.0pt;mso-wrap-distance-top:0.0pt;mso-wrap-distance-right:0.0pt;mso-wrap-distance-bottom:0.0pt;visibility:visible;" fillcolor="#000000" stroked="f">
                <w10:wrap type="topAndBottom"/>
              </v:shape>
            </w:pict>
          </mc:Fallback>
        </mc:AlternateContent>
      </w:r>
      <w:r>
        <w:rPr>
          <w:rFonts w:cs="Times New Roman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4384" behindDoc="1" locked="0" layoutInCell="1" allowOverlap="1">
                <wp:simplePos x="0" y="0"/>
                <wp:positionH relativeFrom="page">
                  <wp:posOffset>4766310</wp:posOffset>
                </wp:positionH>
                <wp:positionV relativeFrom="paragraph">
                  <wp:posOffset>116840</wp:posOffset>
                </wp:positionV>
                <wp:extent cx="1798320" cy="8890"/>
                <wp:effectExtent l="3810" t="2540" r="0" b="0"/>
                <wp:wrapTopAndBottom/>
                <wp:docPr id="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" o:spid="_x0000_s5" o:spt="1" type="#_x0000_t1" style="position:absolute;z-index:-251664384;o:allowoverlap:true;o:allowincell:true;mso-position-horizontal-relative:page;margin-left:375.3pt;mso-position-horizontal:absolute;mso-position-vertical-relative:text;margin-top:9.2pt;mso-position-vertical:absolute;width:141.6pt;height:0.7pt;mso-wrap-distance-left:0.0pt;mso-wrap-distance-top:0.0pt;mso-wrap-distance-right:0.0pt;mso-wrap-distance-bottom:0.0pt;visibility:visible;" fillcolor="#000000" stroked="f">
                <w10:wrap type="topAndBottom"/>
              </v:shape>
            </w:pict>
          </mc:Fallback>
        </mc:AlternateContent>
      </w:r>
      <w:r/>
    </w:p>
    <w:p>
      <w:pPr>
        <w:spacing w:line="276" w:lineRule="auto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должность руководителя</w:t>
      </w:r>
      <w:r>
        <w:rPr>
          <w:rFonts w:cs="Times New Roman"/>
          <w:i/>
          <w:szCs w:val="24"/>
        </w:rPr>
        <w:tab/>
        <w:t xml:space="preserve">подпись руководителя</w:t>
      </w:r>
      <w:r>
        <w:rPr>
          <w:rFonts w:cs="Times New Roman"/>
          <w:i/>
          <w:szCs w:val="24"/>
        </w:rPr>
        <w:tab/>
        <w:t xml:space="preserve">ФИО руководителя</w:t>
      </w:r>
      <w:r/>
    </w:p>
    <w:p>
      <w:pPr>
        <w:spacing w:line="276" w:lineRule="auto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органа государственно-общественного управления</w:t>
      </w:r>
      <w:r/>
    </w:p>
    <w:p>
      <w:pPr>
        <w:spacing w:line="276" w:lineRule="auto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</w:r>
      <w:r/>
    </w:p>
    <w:p>
      <w:pPr>
        <w:spacing w:line="276" w:lineRule="auto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М.П</w:t>
      </w:r>
      <w:r/>
    </w:p>
    <w:p>
      <w:pPr>
        <w:spacing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4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599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599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599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599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599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599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599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599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599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8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599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599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599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599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599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599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character" w:styleId="602">
    <w:name w:val="Hyperlink"/>
    <w:basedOn w:val="599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mailto:mail@licey-1.ru" TargetMode="External"/><Relationship Id="rId9" Type="http://schemas.openxmlformats.org/officeDocument/2006/relationships/hyperlink" Target="http://www.licey-1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R7-Office/7.2.1.14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Проскурякова Светлана Владимировна</dc:creator>
  <cp:keywords/>
  <dc:description/>
  <cp:lastModifiedBy>vko-expert@effektiko.ru</cp:lastModifiedBy>
  <cp:revision>3</cp:revision>
  <dcterms:created xsi:type="dcterms:W3CDTF">2023-01-20T21:11:00Z</dcterms:created>
  <dcterms:modified xsi:type="dcterms:W3CDTF">2023-01-21T11:34:28Z</dcterms:modified>
</cp:coreProperties>
</file>