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Заявка на участие во всероссийском конкурсе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«Вектор качества образования»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(Карта инновации)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tbl>
      <w:tblPr>
        <w:tblStyle w:val="620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6231"/>
      </w:tblGrid>
      <w:tr>
        <w:trPr>
          <w:trHeight w:val="738"/>
        </w:trPr>
        <w:tc>
          <w:tcPr>
            <w:tcW w:w="38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образовательной организации по уставу</w:t>
            </w:r>
            <w:r/>
          </w:p>
        </w:tc>
        <w:tc>
          <w:tcPr>
            <w:tcW w:w="62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пальное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еобразовательное учреждение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Турунтаевская 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 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/>
          </w:p>
        </w:tc>
      </w:tr>
      <w:tr>
        <w:trPr/>
        <w:tc>
          <w:tcPr>
            <w:tcW w:w="38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руководителя образовательной организации</w:t>
            </w:r>
            <w:r/>
          </w:p>
        </w:tc>
        <w:tc>
          <w:tcPr>
            <w:tcW w:w="62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Карбаинова Лариса Леонидовна</w:t>
            </w:r>
            <w:r/>
          </w:p>
        </w:tc>
      </w:tr>
      <w:tr>
        <w:trPr/>
        <w:tc>
          <w:tcPr>
            <w:tcW w:w="38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данные: почтовый адрес, телефон, адрес официального сайта, электронная почта</w:t>
            </w:r>
            <w:r/>
          </w:p>
        </w:tc>
        <w:tc>
          <w:tcPr>
            <w:tcW w:w="62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671260,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Бурятия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Прибайкальский район, село Турунтаево, улица 50 лет Октября,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30144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телефон директора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30144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 – методический кабинет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621"/>
                <w:rFonts w:ascii="Times New Roman" w:hAnsi="Times New Roman" w:cs="Times New Roman"/>
                <w:sz w:val="24"/>
                <w:szCs w:val="24"/>
              </w:rPr>
              <w:t xml:space="preserve">https://turunt1.buryatschool.ru</w:t>
            </w:r>
            <w:r>
              <w:rPr>
                <w:rStyle w:val="621"/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адрес сайта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6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school</w:t>
            </w:r>
            <w:r>
              <w:rPr>
                <w:rStyle w:val="621"/>
                <w:rFonts w:ascii="Times New Roman" w:hAnsi="Times New Roman" w:cs="Times New Roman"/>
                <w:sz w:val="24"/>
                <w:szCs w:val="24"/>
              </w:rPr>
              <w:t xml:space="preserve">_1_</w:t>
            </w:r>
            <w:r>
              <w:rPr>
                <w:rStyle w:val="6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turuntaevo</w:t>
            </w:r>
            <w:r>
              <w:rPr>
                <w:rStyle w:val="621"/>
                <w:rFonts w:ascii="Times New Roman" w:hAnsi="Times New Roman" w:cs="Times New Roman"/>
                <w:sz w:val="24"/>
                <w:szCs w:val="24"/>
              </w:rPr>
              <w:t xml:space="preserve">@</w:t>
            </w:r>
            <w:r>
              <w:rPr>
                <w:rStyle w:val="6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govrb</w:t>
            </w:r>
            <w:r>
              <w:rPr>
                <w:rStyle w:val="621"/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Style w:val="62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электронный адрес </w:t>
            </w:r>
            <w:r/>
          </w:p>
        </w:tc>
      </w:tr>
      <w:tr>
        <w:trPr/>
        <w:tc>
          <w:tcPr>
            <w:tcW w:w="38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п.2.3 Положения о всероссийском конкурсе «Вектор качества образования»)</w:t>
            </w:r>
            <w:r/>
          </w:p>
        </w:tc>
        <w:tc>
          <w:tcPr>
            <w:tcW w:w="62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как гарант качества образования</w:t>
            </w:r>
            <w:r/>
          </w:p>
          <w:p>
            <w:pPr>
              <w:pStyle w:val="62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методическое сопровождение учителей,</w:t>
            </w:r>
            <w:r/>
          </w:p>
          <w:p>
            <w:pPr>
              <w:pStyle w:val="62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внутришкольная</w:t>
            </w:r>
            <w:r>
              <w:rPr>
                <w:rFonts w:ascii="Times New Roman" w:hAnsi="Times New Roman" w:cs="Times New Roman"/>
              </w:rPr>
              <w:t xml:space="preserve"> система профессионального роста, </w:t>
            </w:r>
            <w:r/>
          </w:p>
          <w:p>
            <w:pPr>
              <w:pStyle w:val="62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управленческие технологии развития профессиональной компетентности учителя»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8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конкурсных материалов (тема инновации)</w:t>
            </w:r>
            <w:r/>
          </w:p>
        </w:tc>
        <w:tc>
          <w:tcPr>
            <w:tcW w:w="62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нутришкольная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рофессионального роста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/>
          </w:p>
        </w:tc>
      </w:tr>
      <w:tr>
        <w:trPr/>
        <w:tc>
          <w:tcPr>
            <w:tcW w:w="38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 / авторский коллектив представленной на конкурс инновации</w:t>
            </w:r>
            <w:r/>
          </w:p>
        </w:tc>
        <w:tc>
          <w:tcPr>
            <w:tcW w:w="62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Лариса Леонидовна Карбаинова, директор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Светлана Леонидовна Родионова,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Светлана Николаевна Родионова,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Голавская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к.п.н</w:t>
            </w:r>
            <w:r/>
          </w:p>
        </w:tc>
      </w:tr>
      <w:tr>
        <w:trPr/>
        <w:tc>
          <w:tcPr>
            <w:tcW w:w="38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инновации (цели, задачи, содержание работы, полученные результаты, эффекты)</w:t>
            </w:r>
            <w:r/>
          </w:p>
        </w:tc>
        <w:tc>
          <w:tcPr>
            <w:tcW w:w="62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траекторий инновационного развития отечественного образования является его цифровая трансформация, предполагающая активное использование цифровых технологий, инструментов, ресурсов в образовательном процессе.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Одной из определяющих проблем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отечественного образования является не достаточная готовность педагогов к использованию в организации образовательного процесса своих учеников цифровых инструментов, платформ, программ; к реализации смешанного формата обучения.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инновационной управленческой практики: стимулировать и поддержать профессиональный рост педагогов в условиях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Рассмотреть механизмы профессионального роста педагогов в условиях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Разработать и апробировать организационно-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технологическое обеспечение реализации обозначенных механизмов.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Диагностировать уровень готовности педагогов школы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Транслировать педагогической общественност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Прибайкальского района, республики Бурятия опыт инновационной управленческой практики, созданные в ходе инновационной деятельности методические продукты (методические материалы, рекомендации; цифровой методический ресурс «Прибайкальская цифровая школа»).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инновации.  В настоящее время особую актуальность приобретает решение проблемы проектирования и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внутришкольной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повышения квалификации, профессионального роста педагогов в условиях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процесса. На основе теоретической литературы по образовательному менеджменту выявлены механизмы управления, способствующие стимулированию профессионального роста учителей в условиях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 школы.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Первый механизм стимулирования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внутришкольной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стемы профессионального роста – это активизация участия педагогов в инновационной деятельности. Общая тема, проблематика инновационной деятельности объединяет педагогический коллектив, обеспечивает творческий поиск и творческое взаимодействие в коллективе.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Второй механизм стимулирования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внутришкольной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профессионального роста – это организация работы школьных команд. Школьные команды – это основа командного обучения, планирования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реализации инновации, рефлексии ее результативности. Школьные команды создают среду сотрудничества, в которой педагоги могут свободно обмениваться способами преодоления своих профессиональных дефицитов и идентифицировать лучшие образовательные практики. 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Третий механизм стимулирования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внутришкольной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профессионального роста – это наставничество. Наставничество предполагает передачу профессиональных знаний, навыков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пыта в формах «опытный педагог - молодой педагог», «педагог, владеющий инновационным педагогическим инструментарием – педагог, желающий научиться». Наставничество – это всегда личностное общение, которое располагает для коммуникации, объединяет педагогов. 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Организационно-технологическое обеспечение реализации обозначенных механизмов составляют следующие инструменты: 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инновационный проект «Прибайкальская цифровая школа: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 школы», 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шаблоны технических заданий, регламентирующих деятельность школьных команд, программы наставнических практик; 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методические рекомендации по проектированию курсов внеурочной деятельности, рассказывающих учащимся о цифровых технологиях, реализуемых в разных областях предметного знания;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методические рекомендации по организации и проведению цифровых практик, направленных на знакомство учащихся с цифровыми технологиями, реализуемыми в различных сферах профессиональной деятельности;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Материалы методических семинаров: программы курсов внеурочной деятельности, цифровых практик, методические рекомендации, размещенные на созданном цифровой методическом ресурсе «Прибайкальская цифровая школа».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 целью развития готовности педагога школы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ательного процесса используется технология управления саморазвитием персонала. Эта технология предполагает не отказ от административного управления, а сочетание административного управления с созданием механизмов саморазвития и самоорганизации работников. 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Обозначенные управленческие механизмы стимулирования профессионального роста педагогов в условиях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были апробированы в МОУ «Турунтаевская СОШ №1» Прибайкальского района Республики Бурятия.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Полученные результаты: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Разработаны и апробированы механизмы, а также организационно-технологическое обеспечение реализации обозначенных механизмов.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Проведена сравнительная диагностика готовности педагогов школы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 (стартовая: начало 2020 г. – промежуточная: конец 2022).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Педагогической общественности Прибайкальского района, республики Бурятия представлен опыт инновационной управленческой практики, созданные в ходе инновационной деятельности методические продукты (методические материалы, рекомендации, программы).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Создан цифровой методический ресурс «Прибайкальская цифровая школа».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Эффекты: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Научно-методический эффект: созданная система профессионального роста педагогов в условиях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отличается востребованностью, новизной, а также  простотой применимости. 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Ресурсный эффект: созданная система профессионального роста педагогов в условиях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использование ресурсосберегающей технологии, технологии управления саморазвитием персонала.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Социальный эффект: созданная система профессионального роста педагогов в условиях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формирование такой востребованной в настоящее время профессиональной характеристики как готовность применять в организации учебной и внеурочной деятельности школьников цифровые образовательные ресурсы, инструменты, технологии.</w:t>
            </w:r>
            <w:r/>
          </w:p>
        </w:tc>
      </w:tr>
      <w:tr>
        <w:trPr/>
        <w:tc>
          <w:tcPr>
            <w:tcW w:w="38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распространении инновационного опыта</w:t>
            </w:r>
            <w:r/>
          </w:p>
        </w:tc>
        <w:tc>
          <w:tcPr>
            <w:tcW w:w="62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разработанных механизмов, а также организационно-технологического обеспечения реализации данных механизмов осуществлялась на базе школ-партнеров МОУ «Турунтаевская СОШ №1»: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МОУ «Коменская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МОУ «Зырянская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Нестеровская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Кикинская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2020 г по 2022 г проведено 3 республиканских, 15 районных методических и образовательных события. Самыми значимыми являются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Районный образовательный форум  «Прибайкальская цифровая школа как инновационная среда» (154 участника).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Республиканская научно-практическая конференция «Профессиональная деятельность учителя в цифровом образовательном пространстве: проблемы, пути, решения» (630 педагогов)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Фестиваль для старшеклассников «В цифровом мире: жить, учиться, работать, творить» (203 участника).</w:t>
            </w:r>
            <w:r/>
          </w:p>
        </w:tc>
      </w:tr>
      <w:tr>
        <w:trPr/>
        <w:tc>
          <w:tcPr>
            <w:tcW w:w="38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организаций</w:t>
            </w:r>
            <w:r/>
          </w:p>
        </w:tc>
        <w:tc>
          <w:tcPr>
            <w:tcW w:w="62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Результаты сравнительной диагностики уровня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педагога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процесса.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Сборник Республиканская научно-практическая конференция «Профессиональная деятельность учителя в цифровом образовательном пространстве: проблемы, пути, решения». 73% статей, представленных в сборнике, отражают опыт внедрения инновации в практику школ-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партнеров.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Сюжет телекомпании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научно-практической конференции от 11 декабря 2020 года  </w:t>
            </w:r>
            <w:hyperlink r:id="rId9" w:tooltip="http://pribdigschoo1.ru/info/10" w:history="1">
              <w:r>
                <w:rPr>
                  <w:rStyle w:val="621"/>
                  <w:rFonts w:ascii="Times New Roman" w:hAnsi="Times New Roman" w:cs="Times New Roman"/>
                  <w:sz w:val="24"/>
                  <w:szCs w:val="24"/>
                </w:rPr>
                <w:t xml:space="preserve">http://pribdigschoo1.ru/info/10</w:t>
              </w:r>
            </w:hyperlink>
            <w:r/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38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 о результатах спроса на полученные результаты (продукты)</w:t>
            </w:r>
            <w:r/>
          </w:p>
        </w:tc>
        <w:tc>
          <w:tcPr>
            <w:tcW w:w="62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условиях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цифровизации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отечественного образования востребованн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ой является система профессионального роста педагогов, обеспечивающая формирование у учителей такой профессиональной характеристики как готовность к использованию в организации образовательного процесса цифровых инструментов, ресурсов, платформ, технологий</w:t>
            </w:r>
            <w:r/>
          </w:p>
        </w:tc>
      </w:tr>
      <w:tr>
        <w:trPr/>
        <w:tc>
          <w:tcPr>
            <w:tcW w:w="38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Рекомендательные письма и/или рецензии научно-педагогического сообщества региона</w:t>
            </w:r>
            <w:r/>
          </w:p>
        </w:tc>
        <w:tc>
          <w:tcPr>
            <w:tcW w:w="62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Рекомендательное письмо Управления образования Прибайкальского района республики Бурятия.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Рекомендательное письмо Управляющего совет МОУ «Турунтаевская СОШ №1»</w:t>
            </w:r>
            <w:r/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tbl>
      <w:tblPr>
        <w:tblpPr w:horzAnchor="margin" w:tblpXSpec="left" w:vertAnchor="text" w:tblpY="1069" w:leftFromText="0" w:topFromText="0" w:rightFromText="0" w:bottomFromText="0"/>
        <w:tblW w:w="9498" w:type="dxa"/>
        <w:tblCellMar>
          <w:left w:w="0" w:type="dxa"/>
          <w:top w:w="1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490"/>
        <w:gridCol w:w="823"/>
        <w:gridCol w:w="2499"/>
      </w:tblGrid>
      <w:tr>
        <w:trPr>
          <w:trHeight w:val="1303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6" w:type="dxa"/>
            <w:textDirection w:val="lrTb"/>
            <w:noWrap w:val="false"/>
          </w:tcPr>
          <w:p>
            <w:pPr>
              <w:ind w:right="829" w:firstLine="58"/>
              <w:spacing w:after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Должность руководителя </w:t>
            </w:r>
            <w:r>
              <w:rPr>
                <w:rFonts w:ascii="Times New Roman" w:hAnsi="Times New Roman" w:cs="Times New Roman"/>
                <w:i/>
                <w:sz w:val="18"/>
              </w:rPr>
              <w:t xml:space="preserve">образовательной организации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0" w:type="dxa"/>
            <w:textDirection w:val="lrTb"/>
            <w:noWrap w:val="false"/>
          </w:tcPr>
          <w:p>
            <w:pPr>
              <w:ind w:left="19"/>
              <w:spacing w:after="0"/>
              <w:rPr>
                <w:rFonts w:ascii="Times New Roman" w:hAnsi="Times New Roman" w:cs="Times New Roman"/>
                <w:i/>
                <w:sz w:val="18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подпись руководителя</w:t>
            </w:r>
            <w:r/>
          </w:p>
          <w:p>
            <w:pPr>
              <w:ind w:left="19"/>
              <w:spacing w:after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образовательной организации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2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30"/>
              </w:rPr>
              <w:t xml:space="preserve">М</w:t>
            </w:r>
            <w:r>
              <w:rPr>
                <w:rFonts w:ascii="Times New Roman" w:hAnsi="Times New Roman" w:cs="Times New Roman"/>
                <w:i/>
                <w:sz w:val="30"/>
              </w:rPr>
              <w:t xml:space="preserve">.</w:t>
            </w:r>
            <w:r>
              <w:rPr>
                <w:rFonts w:ascii="Times New Roman" w:hAnsi="Times New Roman" w:cs="Times New Roman"/>
                <w:i/>
                <w:sz w:val="30"/>
              </w:rPr>
              <w:t xml:space="preserve">П</w:t>
            </w:r>
            <w:r>
              <w:rPr>
                <w:rFonts w:ascii="Times New Roman" w:hAnsi="Times New Roman" w:cs="Times New Roman"/>
                <w:i/>
                <w:sz w:val="30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9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i/>
                <w:sz w:val="18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ФИО руководителя</w:t>
            </w:r>
            <w:r/>
          </w:p>
          <w:p>
            <w:pPr>
              <w:spacing w:after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образовательной организации</w:t>
            </w:r>
            <w:r/>
          </w:p>
        </w:tc>
      </w:tr>
      <w:tr>
        <w:trPr>
          <w:trHeight w:val="1303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6" w:type="dxa"/>
            <w:textDirection w:val="lrTb"/>
            <w:noWrap w:val="false"/>
          </w:tcPr>
          <w:p>
            <w:pPr>
              <w:ind w:right="1538" w:firstLine="58"/>
              <w:spacing w:after="0"/>
              <w:rPr>
                <w:rFonts w:ascii="Times New Roman" w:hAnsi="Times New Roman" w:cs="Times New Roman"/>
                <w:i/>
                <w:sz w:val="18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_______________________                                 </w:t>
            </w:r>
            <w:r/>
          </w:p>
          <w:p>
            <w:pPr>
              <w:ind w:right="1538" w:firstLine="58"/>
              <w:spacing w:after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Должность руководителя органа государственно-общественного управления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0" w:type="dxa"/>
            <w:textDirection w:val="lrTb"/>
            <w:noWrap w:val="false"/>
          </w:tcPr>
          <w:p>
            <w:pPr>
              <w:ind w:left="19"/>
              <w:spacing w:after="0"/>
              <w:rPr>
                <w:rFonts w:ascii="Times New Roman" w:hAnsi="Times New Roman" w:cs="Times New Roman"/>
                <w:i/>
                <w:sz w:val="18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________________________</w:t>
            </w:r>
            <w:bookmarkStart w:id="0" w:name="_GoBack"/>
            <w:r/>
            <w:bookmarkEnd w:id="0"/>
            <w:r/>
            <w:r/>
          </w:p>
          <w:p>
            <w:pPr>
              <w:ind w:left="19"/>
              <w:spacing w:after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подпись руководителя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2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i/>
                <w:sz w:val="30"/>
              </w:rPr>
            </w:pPr>
            <w:r>
              <w:rPr>
                <w:rFonts w:ascii="Times New Roman" w:hAnsi="Times New Roman" w:cs="Times New Roman"/>
                <w:i/>
                <w:sz w:val="30"/>
              </w:rPr>
            </w:r>
            <w:r/>
          </w:p>
          <w:p>
            <w:pPr>
              <w:spacing w:after="0"/>
              <w:rPr>
                <w:rFonts w:ascii="Times New Roman" w:hAnsi="Times New Roman" w:cs="Times New Roman"/>
                <w:i/>
                <w:sz w:val="30"/>
              </w:rPr>
            </w:pPr>
            <w:r>
              <w:rPr>
                <w:rFonts w:ascii="Times New Roman" w:hAnsi="Times New Roman" w:cs="Times New Roman"/>
                <w:i/>
                <w:sz w:val="30"/>
              </w:rPr>
            </w:r>
            <w:r/>
          </w:p>
          <w:p>
            <w:pPr>
              <w:spacing w:after="0"/>
              <w:rPr>
                <w:rFonts w:ascii="Times New Roman" w:hAnsi="Times New Roman" w:cs="Times New Roman"/>
                <w:i/>
                <w:sz w:val="30"/>
              </w:rPr>
            </w:pPr>
            <w:r>
              <w:rPr>
                <w:rFonts w:ascii="Times New Roman" w:hAnsi="Times New Roman" w:cs="Times New Roman"/>
                <w:i/>
                <w:sz w:val="30"/>
              </w:rPr>
            </w:r>
            <w:r/>
          </w:p>
          <w:p>
            <w:pPr>
              <w:spacing w:after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30"/>
              </w:rPr>
              <w:t xml:space="preserve">М</w:t>
            </w:r>
            <w:r>
              <w:rPr>
                <w:rFonts w:ascii="Times New Roman" w:hAnsi="Times New Roman" w:cs="Times New Roman"/>
                <w:i/>
                <w:sz w:val="30"/>
              </w:rPr>
              <w:t xml:space="preserve">.</w:t>
            </w:r>
            <w:r>
              <w:rPr>
                <w:rFonts w:ascii="Times New Roman" w:hAnsi="Times New Roman" w:cs="Times New Roman"/>
                <w:i/>
                <w:sz w:val="30"/>
              </w:rPr>
              <w:t xml:space="preserve">П</w:t>
            </w:r>
            <w:r>
              <w:rPr>
                <w:rFonts w:ascii="Times New Roman" w:hAnsi="Times New Roman" w:cs="Times New Roman"/>
                <w:i/>
                <w:sz w:val="30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9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i/>
                <w:sz w:val="18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______________________</w:t>
            </w:r>
            <w:r/>
          </w:p>
          <w:p>
            <w:pPr>
              <w:spacing w:after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ФИО руководителя</w:t>
            </w:r>
            <w:r/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_________________                          ___________________                  _________________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8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16"/>
    <w:next w:val="616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17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16"/>
    <w:next w:val="616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17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16"/>
    <w:next w:val="616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17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16"/>
    <w:next w:val="616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17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16"/>
    <w:next w:val="616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17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16"/>
    <w:next w:val="616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17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16"/>
    <w:next w:val="616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17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16"/>
    <w:next w:val="616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17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16"/>
    <w:next w:val="616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17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16"/>
    <w:next w:val="616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17"/>
    <w:link w:val="33"/>
    <w:uiPriority w:val="10"/>
    <w:rPr>
      <w:sz w:val="48"/>
      <w:szCs w:val="48"/>
    </w:rPr>
  </w:style>
  <w:style w:type="paragraph" w:styleId="35">
    <w:name w:val="Subtitle"/>
    <w:basedOn w:val="616"/>
    <w:next w:val="616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17"/>
    <w:link w:val="35"/>
    <w:uiPriority w:val="11"/>
    <w:rPr>
      <w:sz w:val="24"/>
      <w:szCs w:val="24"/>
    </w:rPr>
  </w:style>
  <w:style w:type="paragraph" w:styleId="37">
    <w:name w:val="Quote"/>
    <w:basedOn w:val="616"/>
    <w:next w:val="616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16"/>
    <w:next w:val="616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16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17"/>
    <w:link w:val="41"/>
    <w:uiPriority w:val="99"/>
  </w:style>
  <w:style w:type="paragraph" w:styleId="43">
    <w:name w:val="Footer"/>
    <w:basedOn w:val="616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17"/>
    <w:link w:val="43"/>
    <w:uiPriority w:val="99"/>
  </w:style>
  <w:style w:type="paragraph" w:styleId="45">
    <w:name w:val="Caption"/>
    <w:basedOn w:val="616"/>
    <w:next w:val="6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8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7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1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4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8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1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5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616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17"/>
    <w:uiPriority w:val="99"/>
    <w:unhideWhenUsed/>
    <w:rPr>
      <w:vertAlign w:val="superscript"/>
    </w:rPr>
  </w:style>
  <w:style w:type="paragraph" w:styleId="177">
    <w:name w:val="endnote text"/>
    <w:basedOn w:val="616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17"/>
    <w:uiPriority w:val="99"/>
    <w:semiHidden/>
    <w:unhideWhenUsed/>
    <w:rPr>
      <w:vertAlign w:val="superscript"/>
    </w:rPr>
  </w:style>
  <w:style w:type="paragraph" w:styleId="180">
    <w:name w:val="toc 1"/>
    <w:basedOn w:val="616"/>
    <w:next w:val="616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16"/>
    <w:next w:val="616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16"/>
    <w:next w:val="616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16"/>
    <w:next w:val="616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16"/>
    <w:next w:val="616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16"/>
    <w:next w:val="616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16"/>
    <w:next w:val="616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16"/>
    <w:next w:val="616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16"/>
    <w:next w:val="616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qFormat/>
  </w:style>
  <w:style w:type="character" w:styleId="617" w:default="1">
    <w:name w:val="Default Paragraph Font"/>
    <w:uiPriority w:val="1"/>
    <w:semiHidden/>
    <w:unhideWhenUsed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table" w:styleId="620">
    <w:name w:val="Table Grid"/>
    <w:basedOn w:val="618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21">
    <w:name w:val="Hyperlink"/>
    <w:basedOn w:val="617"/>
    <w:uiPriority w:val="99"/>
    <w:unhideWhenUsed/>
    <w:rPr>
      <w:color w:val="0563c1" w:themeColor="hyperlink"/>
      <w:u w:val="single"/>
    </w:rPr>
  </w:style>
  <w:style w:type="character" w:styleId="622" w:customStyle="1">
    <w:name w:val="Unresolved Mention"/>
    <w:basedOn w:val="617"/>
    <w:uiPriority w:val="99"/>
    <w:semiHidden/>
    <w:unhideWhenUsed/>
    <w:rPr>
      <w:color w:val="605e5c"/>
      <w:shd w:val="clear" w:color="auto" w:fill="e1dfdd"/>
    </w:rPr>
  </w:style>
  <w:style w:type="paragraph" w:styleId="623">
    <w:name w:val="List Paragraph"/>
    <w:basedOn w:val="616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pribdigschoo1.ru/info/1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R7-Office/7.2.1.14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Kutsenko</dc:creator>
  <cp:lastModifiedBy>vko-expert@effektiko.ru</cp:lastModifiedBy>
  <cp:revision>4</cp:revision>
  <dcterms:created xsi:type="dcterms:W3CDTF">2023-01-19T03:02:00Z</dcterms:created>
  <dcterms:modified xsi:type="dcterms:W3CDTF">2023-01-21T16:11:37Z</dcterms:modified>
</cp:coreProperties>
</file>