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jc w:val="center"/>
        <w:spacing w:after="240" w:line="360" w:lineRule="auto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</w:rPr>
        <w:t xml:space="preserve">Заявка на участие во всероссийском конкурсе «Вектор качества образования» (Карта инновации):</w:t>
      </w:r>
      <w:r/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3006"/>
        <w:gridCol w:w="6240"/>
      </w:tblGrid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06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Полное наименование образовательной организации по уставу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40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Муниципальное бюджетное общеобразовательное учреждение «Гимназия №1 г. Никольское»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06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Фамилия, имя, отчество руководителя образовательной организации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40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Кожина Нина Владимировна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06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Контактные данные: почтовый адрес, телефон, адрес официального сайта, электронная почта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40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Россия, 187026, Ленинградская область Тосненский район г. Никольское ул. Школьная, дом 11. +7 (81361) 53-532. </w:t>
            </w:r>
            <w:hyperlink r:id="rId9" w:tooltip="http://www.nik-edu.ru/" w:history="1">
              <w:r>
                <w:rPr>
                  <w:rStyle w:val="604"/>
                  <w:rFonts w:ascii="Times New Roman" w:hAnsi="Times New Roman" w:eastAsia="Calibri" w:cs="Times New Roman"/>
                  <w:color w:val="auto"/>
                  <w:sz w:val="24"/>
                  <w:szCs w:val="24"/>
                </w:rPr>
                <w:t xml:space="preserve">http://www.nik-edu.ru/</w:t>
              </w:r>
            </w:hyperlink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. </w:t>
            </w:r>
            <w:hyperlink r:id="rId10" w:tooltip="mailto:mail@nik.edu.ru" w:history="1">
              <w:r>
                <w:rPr>
                  <w:rStyle w:val="604"/>
                  <w:rFonts w:ascii="Times New Roman" w:hAnsi="Times New Roman" w:eastAsia="Calibri" w:cs="Times New Roman"/>
                  <w:color w:val="auto"/>
                  <w:sz w:val="24"/>
                  <w:szCs w:val="24"/>
                  <w:lang w:val="en-US"/>
                </w:rPr>
                <w:t xml:space="preserve">mail</w:t>
              </w:r>
              <w:r>
                <w:rPr>
                  <w:rStyle w:val="604"/>
                  <w:rFonts w:ascii="Times New Roman" w:hAnsi="Times New Roman" w:eastAsia="Calibri" w:cs="Times New Roman"/>
                  <w:color w:val="auto"/>
                  <w:sz w:val="24"/>
                  <w:szCs w:val="24"/>
                </w:rPr>
                <w:t xml:space="preserve">@</w:t>
              </w:r>
              <w:r>
                <w:rPr>
                  <w:rStyle w:val="604"/>
                  <w:rFonts w:ascii="Times New Roman" w:hAnsi="Times New Roman" w:eastAsia="Calibri" w:cs="Times New Roman"/>
                  <w:color w:val="auto"/>
                  <w:sz w:val="24"/>
                  <w:szCs w:val="24"/>
                  <w:lang w:val="en-US"/>
                </w:rPr>
                <w:t xml:space="preserve">nik</w:t>
              </w:r>
              <w:r>
                <w:rPr>
                  <w:rStyle w:val="604"/>
                  <w:rFonts w:ascii="Times New Roman" w:hAnsi="Times New Roman" w:eastAsia="Calibri" w:cs="Times New Roman"/>
                  <w:color w:val="auto"/>
                  <w:sz w:val="24"/>
                  <w:szCs w:val="24"/>
                </w:rPr>
                <w:t xml:space="preserve">.</w:t>
              </w:r>
              <w:r>
                <w:rPr>
                  <w:rStyle w:val="604"/>
                  <w:rFonts w:ascii="Times New Roman" w:hAnsi="Times New Roman" w:eastAsia="Calibri" w:cs="Times New Roman"/>
                  <w:color w:val="auto"/>
                  <w:sz w:val="24"/>
                  <w:szCs w:val="24"/>
                  <w:lang w:val="en-US"/>
                </w:rPr>
                <w:t xml:space="preserve">edu</w:t>
              </w:r>
              <w:r>
                <w:rPr>
                  <w:rStyle w:val="604"/>
                  <w:rFonts w:ascii="Times New Roman" w:hAnsi="Times New Roman" w:eastAsia="Calibri" w:cs="Times New Roman"/>
                  <w:color w:val="auto"/>
                  <w:sz w:val="24"/>
                  <w:szCs w:val="24"/>
                </w:rPr>
                <w:t xml:space="preserve">.</w:t>
              </w:r>
              <w:r>
                <w:rPr>
                  <w:rStyle w:val="604"/>
                  <w:rFonts w:ascii="Times New Roman" w:hAnsi="Times New Roman" w:eastAsia="Calibri" w:cs="Times New Roman"/>
                  <w:color w:val="auto"/>
                  <w:sz w:val="24"/>
                  <w:szCs w:val="24"/>
                  <w:lang w:val="en-US"/>
                </w:rPr>
                <w:t xml:space="preserve">ru</w:t>
              </w:r>
            </w:hyperlink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.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06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40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Школа — территория больших возможностей.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Современные форматы развития и поддержки талантов школьников.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06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Тема конкурсных материалов (тема инновации)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40" w:type="dxa"/>
            <w:vAlign w:val="center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едиапространство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развития и поддержки талантов школьников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06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Автор/авторский коллектив представленной на конкурс инновации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40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Кожина Н. В.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Осипов А. Г.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Кузнецова О. Е.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06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Краткое описание инновации (цели, задачи, содержание работы, полученные результаты, эффекты)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40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Calibri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u w:val="single"/>
              </w:rPr>
              <w:t xml:space="preserve">Актуальность инновации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Многолетняя практика гимназии позволяет рассматривать</w:t>
            </w:r>
            <w: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нформационн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ую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медиаграмотность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учащихся гимназии как один из форматов развития и поддержки одаренных детей.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Занятия в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Медиацентре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«ВМЕСТЕ», по отзывам выпускников, помогло им в выборе профессии и стиле жизни — активном, целеустремлённом стремлении достигать свои цели. Иными словами, им помогло полученное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медиаобразование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как пройденный процесс социализации, воспитания активной гражданской позиции на основе владения навыками работы с информацией.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Процесс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медиаобразования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в Никольской Гимназии №1 как инструмент повышения функциональной грамотности школьников реализуется в наиболее эффективном виде, то есть в виде проектной технологии, деятельности,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неотъемлемой частью которой является производство продукта — выпуск очередного номера газеты «ВМЕСТЕ».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u w:val="single"/>
              </w:rPr>
              <w:t xml:space="preserve">Цель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Способствовать воспитанию образованного, творческого, социально активного человека, владеющего современными информационно-коммуникативными технологиями; обладающего лидерскими качествами и способного в будущем внести свой вклад в развитие страны.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u w:val="single"/>
              </w:rPr>
              <w:t xml:space="preserve">Задачи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1. Привлекать обучающихся к участию в общественно-культурной деятельности в своём родном городе, районе, регионе посредством учебной работы в молодёжных средствах массовой информации: редакции газеты, радио- и телестудии.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2. Знакомить учащихся с содержанием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медиадеятельности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. Создавать целостное представление о роли СМИ в жизни общества.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3. Развивать у учащихся умения самостоятельной работы с информацией в рамках определённого информационного поля.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4. Способствовать проявлению креативных способностей гимназистов — умению формулировать идею, способы её реализации.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5. Формировать лидерские качества учащихся: умение вести за собой, чётко формулировать идею и контролировать её реализацию, краткосрочное и долгосрочное планирование своей работы и коллективной деятельности.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6. Вырабатывать у учащихся навыки командной работы с распределением обязанностей при создании информационного продукта.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u w:val="single"/>
              </w:rPr>
              <w:t xml:space="preserve">Содержание инновации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Медиапространство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охватывает всю гимназию, объединяет её работу. Выделяется 7 основных направлений.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1. Предметные олимпиады, способствующие развитию и самосовершенствованию детей, их готовности и способности осваивать новые области профессиональной деятельности.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2. Участие в конкурсах различного уровня — возможности раскрыть индивидуальные способности обучающихся, их умение работать в команде, развитие лидерских качеств.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3. Исследовательская деятельность и проектная работа в рамках подготовки к ежегодной Научно-практической конференции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— эффективный инструмент образования, формирующий у школьников такие компетенции, как умение определить цели, задачи, область исследования, проведение анализа и синтеза собранного материала, составление библиографии к работе, опыт публичной защиты работы.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4. Занятия в Детском и Молодёжном Медиа Центре «ВМЕСТЕ» — дети под руководством учителей выпускают газету «ВМЕСТЕ», видеофильмы, осваивают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медиапрофессии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— журналиста, верстальщика, дизайнера, фотографа,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видеооператора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видеомонтажёра, то есть в процессе интегрированных занятий проектной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медиадеятельностью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формируются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метапредметные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универсальные умения. Это основа функциональной грамотности в будущем.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5. Занятия в образцовом хореографическом ансамбле народного танца «Сюрприз» дают школьникам знания по истории и эстетике народного танца и практические умения танцевать в совокупности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 отличной физической подготовкой, формирование уважительного отношения к иному мнению, истории и культуре других народов; формирование эстетических потребностей, ценностей и чувств; овладение навыками сотрудничества со взрослыми и сверстниками и т. д. К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метапредметным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результатам этого направления от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носятся: формирование у обучающихся умения планировать, контролировать и оценивать свои действия; определение наиболее эффективных способов достижения результата; умение работать в команде со сверстниками при решении творческих задач на уроках хореографии.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6. Школьный краеведческий музей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работает с 1994 года, реализует программу музейной педагогики, готовит юных краеведов-экскурсоводов. Сам музей — неоднократный лауреат регионального конкурса школьных музеев, партнёр Музея Победы. Музейная педагогика создаёт условия для развития личности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 специально подготовленной предметно-пространственной среде окружающего мира, которая играет роль своеобразного учителя и воспитателя. Школьный музей является итогом совместной работы учителей, школьников и их родителей. И в музее происходит формирование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метапредметных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умений ставить перед собой цели и определять задачи, и решать их; развитие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исследовательских учебных действий, навыки работы с информацией; навыки самонаблюдения, самоконтроля, самооценки.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7. Центр образования естественно-научной и технологической направленностей «Точка роста» открывает новые возможности урочной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и внеурочной деятельности, расширяет поле взаимодействия ученика и учителя, повышает интерес и мотивацию учащихся к изучению биологии, химии и других предметов естественно-научной направленности, в том числе для обучения школьников проектной деятельности.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  <w:u w:val="single"/>
              </w:rPr>
              <w:t xml:space="preserve">Полученные результаты, эффекты</w:t>
            </w:r>
            <w:bookmarkStart w:id="0" w:name="_GoBack"/>
            <w:r/>
            <w:bookmarkEnd w:id="0"/>
            <w:r/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Коллектив юных журналистов под руководством учителей создаёт современное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медиапространство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обеспечивающее информационную поддержку всех направлений деятельности гимназии.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Для создания продукта — газеты «ВМЕСТЕ» — создана действующая редакция, эффективность работы которой проверена годами участия в различных конкурсах школьной прессы.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 рамках работы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Медиацентра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«ВМЕСТЕ» юные журналисты регулярно получают наиболее полные знания по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медиадеятельности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и вырабатывают необходимые навыки работы с информацией.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Газета «ВМЕСТЕ» постоянно развивается, она стала площадкой для публикации аналитических материалов подростков.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Занимаясь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медиадеятельностью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учителя вместе с учениками повышают свои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медиакомпетенции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что в конечном итоге влияет на качество нашего продукта — газеты.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06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Сведения о распространении инновационного опыта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40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«Материалы к уроку — исторической медиа-реконструкции, посвящённой Блокаде Ленинграда» (автор А. Г. Осипов)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цифрово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й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сборник «Преподавание военной истории в России и за рубежом. Выпуск 3» (сборник проиндексирован в РИНЦ, статьи имеют DOI), стр. 360–376. Сборник выпущен по итогам II Всероссийского конкурса краеведов-педагогов, работающих с молодёжью.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Награждение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ДММЦ «ВМЕСТЕ» МБОУ «Гимназии №1 г. Никольское» —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обедителя в региональном этапе Всероссийского конкурса юных кинематографистов «Десятая муза». Фильм «Память длиною в жизнь»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2020 г.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Социальная сеть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VK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Поликодовые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коммуникации в проектной деятельности учащихся (на примере проектов исторических медиа-реконструкций)»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. Сборник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статей XXII Международной научно-практической конференции «Личность. Общество. Образование. Качество современного образования: актуальные вопросы, достижения, стратегии развития» ЛОИРО, Санкт-Петербург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2019 г.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«По пути непрекращающегося развития»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журнал «Школа. Гимназия. Лицей»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2022 г.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«Гимназия №1, Никольское. Социокультурный центр»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газет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«Комсомольская правда»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5.10.2020, стр. 13.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«Один из двух лучших интерактивных музеев Ленобласти — в никольской гимназии №1»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сайт газеты «Тосненский вестник», автор: Ирина Данилова, 1 июня 2020.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«Школьный музей Гимназии №1 города Никольское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Тосненского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района»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. С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борник «Школьные музеи Ленинградской области»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2015 г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.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06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Сведения, подтверждающие эффективность внедрения инновации в практику общеобразовательных учреждений 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40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1.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Коллектив МБОУ «Гимназия №1 г. Никольское» — лауреат Ленинградского областного конкурса «Школа года-2017», в номинации «Городская школа».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2.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Коллектив МБОУ «Гимназия №1 г. Никольское» — лауреат конкурса «Школа года-2011», в номинации «Лучшее образовательное учреждение».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3. 2022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— XVI открытый международный форум школьных СМИ «МедиаШкола-2022» (Иваново) — юные журналисты ДММЦ «ВМЕСТЕ» заняли 1 место в командном зачёте; 2-е место в «Международной печатной лиге»; 2-е и 3-е места в номинациях.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4. 2022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— Диплом Гран-При, три Диплома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I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степени и один Диплом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en-US"/>
              </w:rPr>
              <w:t xml:space="preserve">II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степени получил Образцовый ансамбль народного танца «Сюрприз» на Международном многожанровом фестивале-конкурсе «Уральская палитра».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5. 2021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— Диплом Лидера. Всероссийский конкурс «Сын России», посвящённый 60-летию первого полёта человека в космос, подвигу и личности Ю. А. Гагарина. Диплом и награда присуждаются Дарье Евстигнеевой (Тосненский район, МБОУ «Гимназия №1 г. Никольское»).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6. 2020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— Творческий коллектив Гимназии №1 — Лауреат 2-й степени Всероссийского конкурса юных кинематографистов «Десятая муза» в номинации «Документальный экран» (фильм-интервью «Память длиною в жизнь» на основе поисковой краеведческой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работы к 75-летию Великой Победы в краеведческом школьном музее МБОУ «Гимназия №1 г. Никольское»). 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7. 2020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— Творческий коллектив Гимназии №1 — Победитель регионального этапа Всероссийского конкурса юных кинематографистов «Десятая муза» за фильм «П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амять длиною в жизнь» в номинации «Документальный экран» (старшая возрастная группа). Фильм-интервью «Память длиною в жизнь» на основе поисковой краеведческой работы к 75-летию Великой Победы в краеведческом школьном музее МБОУ «Гимназия №1 г. Никольское».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8. 2020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— Диплом финалиста областного Смотра-конкурса юных экскурсоводов ОО ЛО: Арина Дорофеева.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9. 2020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— Диплом за I место (старшая возрастная группа) в районном конкурсе юных экскурсоводов награждается Арина Дорофеева, экскурсовод школьного музея МБОУ «Гимназия №1 г. Никольское».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10. 2019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— Диплом I степени Победителя Олимпиады по журналистике «Хрустальное перо», Светлана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Бадзюра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11 класс. Всероссийский конкурс школьных СМИ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Schoolizdat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2.0. (Санкт-Петербург).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11. 2019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— Диплом II степени в номинации «Жанры журналистики. Статья». Анастасия Бекетова, 11 класс. Всероссийский конкурс школьных СМИ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Schoolizdat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2.0. (Санкт-Петербург).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12. 2019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— Диплом III степени в номинации «Жанры журналистики. Интервью». Анастасия Бекетова, 11 класс. Всероссийский конкурс школьных СМИ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Schoolizdat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2.0. (Санкт-Петербург).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13. 2019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— Диплом за II место в районном конкурсе школьных музеев образовательных учреждений награждается Арина Дорофеева, экскурсовод школьного музея МБОУ «Гимназия №1 г. Никольское».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14. 2019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— Два диплома за III место в региональном этапе всероссийского конкурса юных фотолюбителей «Юность России», средняя возрастная группа («Центр «Ладога»).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15. 2018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— Диплом за II место в региональном этапе всероссийского конкурса юных кинематографистов «Десятая муза» в номинации «Документальный экран» за фильм «Февраль. 100 лет назад», младшая возрастная группа («Центр «Ладога»).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06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Прогноз о результатах спроса на полученные результаты (продукты)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40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Считаем, что тема нашей инновации — Информационная и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медиаграмотность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учащихся гимназии как инструмент повышения функциональной грамотности — имеет и будет иметь спрос в образовательной сфере в виду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основного тренда развития Российского общества —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цифровизации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. Продукт нашей деятельности — газета «ВМЕСТЕ» полностью выполняет все три осн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овные функции средства массовой информации — информирует о событиях; даёт образовательную информацию на уровне функциональной грамотности; а также несёт развлекательную часть в виде игровой, музыкальной или графической информации, что значительно повышает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медиаграмотность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школьников.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Школьная газета «ВМЕСТЕ» является важнейшим компонентом медиа-образования в МБОУ «Гимназия №1 г. Никольское», позволяющим на основе навыков работы с информацией воспитывать социально активных членов гражданского общества.</w:t>
            </w:r>
            <w:r/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06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Рекомендательные письма и/или рецензии научно-педагогического сообщества региона</w:t>
            </w:r>
            <w:r/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240" w:type="dxa"/>
            <w:textDirection w:val="lrTb"/>
            <w:noWrap w:val="false"/>
          </w:tcPr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Жуковицкая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Наталья Николаевна, заведующий Центром стратегического развития образования и воспитания ГАОУ ДПО «ЛОИРО»,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к.п.н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., доцент, 11.11.2022.</w:t>
            </w:r>
            <w:r/>
          </w:p>
          <w:p>
            <w:pPr>
              <w:jc w:val="center"/>
              <w:spacing w:after="0"/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  <w:t xml:space="preserve">Отзыв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 работе педагогической команды МОУ «Гимназия №1 г. Никольское»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Тосненского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района Ленинградской области по реализации проекта, представленном на всероссийский конкурс «Вектор качества образования».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Оформление практической работы, проводимой руководителями и учителями школы на протяжении ряда лет по сопровождению одаренных детей с использованием потенциала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медиапространства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школы, в формат инновационного проекта стало возможным благодаря результативному участию педагогической команды школы в работе двух региональных проектов: «Поддержка школ со стабильно высокими ре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зультатами подготовки обучающихся» (2020, 2021, 2022 годы) и в региональной инновационной программе «Управление процессом реализации инновационных проектов школ со стабильно высокими образовательными результатами как способ развития одаренных обучающихся».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 протяжении ряда лет, под руководством ученых НИУ «Высшая школа экономики» (Санкт-Петербургский кампус), ООО «Мобильное электронное образование (г. Моск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ва), ГАОУ ДПО «ЛОИРО» (Санкт-Петербург) осуществлялось обучение школьных проектных команд. Результаты каждого года анализировались на основе проведенных экспертиз материалов участников проектов, а также их презентаций на отчетных региональных конференциях.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Актуальность проекта не вызывает сомнения, он органично вписывается в решение задач государственной образовательной политики, в части реализации стратегии сопровождения развития одаренных детей.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Надо признать, что педагогическому коллективу гимназии удалос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ь выстроить стройную систему работы с одаренными детьми, предоставляя им свободу выбора своей траектории развития, основываясь на предпочтениях в профессиональном самоопределении, согласно ориентирам, федеральных государственных образовательных стандартов.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В гимназии выделяются семь основных направлений ра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звития и поддержки талантов школьников: олимпиады и конкурсы, исследовательская деятельность и проектная работа, занятия в Детском и Молодёжном Медиа Центре «ВМЕСТЕ» — выпуск газеты «ВМЕСТЕ», а также видеофильмов, что позволяет ребятам осваивать профессии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медиасферы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Художественно одаренным детям предоставляется возможность заниматься в образцовом хореографическом ансамбле народного танца «Сюрприз».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Юным интеллектуалам-краеведам школьный краеведческий музей, реализующий программу музейной педагогики, позволяет заниматься не только учебно-исследовательской деятельностью, но и постигать особенности работы экскурсоводов.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Центр образования «Точка роста» предоставляет новые возможности выявления и поддержки талантливых детей для реализации их способностей в технологической и естественно-научной деятельности, используя потенциал современного оборудования школьных лабораторий.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Гимназия сумела найти связующую нить всех пространств развития способностей одаренных детей, создав школьное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медиапространство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которое выступает в роли информационной оболочки, объединившей все подразделения гимназии.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Примечательно, что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медиапространство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гимназии строится за счёт усилий самих шк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ольников под руководством учителей. Ребята получают уникальную возможность рассказать о полноценной, насыщенной жизни своей школы и своих ровесников, а также выйти за ее пределы и быть включенными в яркую общественную жизнь своего города, района и региона.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Они постигают основы творчества в процессе создания и работы средств массовой информации: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Медиацентр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«ВМЕСТЕ», газета «ВМЕСТЕ», социальные сети.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Неоднократно обучающиеся данной гимназии, осваивающие профессии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медиасферы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получали возможность практической реализации своих способностей в рамках проведения областных педагогических советов. В частности, в 2022 году ребята были вовлечены в разработку сценария проведения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коворкинг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-пространства регионального педсовета, целью которого являлось рассмотрение идей нового федерального проекта «Школа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Минпросвещения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России». Они интервьюировали участников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коворкинг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-пространства, изучали их мнения по поводу данного проекта и сценариев его реализации в школах Ленинградской области, представили интересный экспресс-анализ точек зрения его участников.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Безусловно, заслуживают внимания и одобрения полученные результаты проекта. Учащиеся гимназии активно участвуют в профильных конкурсах, получая значимые высокие награды.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Следует признать, что представление проекта отличает культура оформления, грамотный стиль изложения материала, убедительное построение системы сопровождения развития обучающихся гимназии, в том числе и одаренных детей в сфере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медиадеятельности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.</w:t>
            </w:r>
            <w:r/>
          </w:p>
          <w:p>
            <w:pPr>
              <w:spacing w:after="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Интересный подход, заявленный и реализованный проектной командой гимназии по обеспечению внутренних связей всей деятельности гимназии по сопровождению одаренных детей средствами совместно созданного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медиапространства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безусловно, заслуживает внимания и может быть рекомендован для участия во всероссийском конкурсе «Вектор качества образования».</w:t>
            </w:r>
            <w:r/>
          </w:p>
        </w:tc>
      </w:tr>
    </w:tbl>
    <w:p>
      <w:pPr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sz w:val="28"/>
          <w:szCs w:val="28"/>
          <w:u w:val="single"/>
        </w:rPr>
      </w:r>
      <w:r/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sz w:val="28"/>
          <w:szCs w:val="28"/>
          <w:u w:val="single"/>
        </w:rPr>
        <w:tab/>
      </w:r>
      <w:r>
        <w:rPr>
          <w:rFonts w:ascii="Times New Roman" w:hAnsi="Times New Roman" w:eastAsia="Calibri" w:cs="Times New Roman"/>
          <w:sz w:val="28"/>
          <w:szCs w:val="28"/>
          <w:u w:val="single"/>
        </w:rPr>
        <w:tab/>
      </w:r>
      <w:r>
        <w:rPr>
          <w:rFonts w:ascii="Times New Roman" w:hAnsi="Times New Roman" w:eastAsia="Calibri" w:cs="Times New Roman"/>
          <w:sz w:val="28"/>
          <w:szCs w:val="28"/>
          <w:u w:val="single"/>
        </w:rPr>
        <w:tab/>
      </w:r>
      <w:r>
        <w:rPr>
          <w:rFonts w:ascii="Times New Roman" w:hAnsi="Times New Roman" w:eastAsia="Calibri" w:cs="Times New Roman"/>
          <w:sz w:val="28"/>
          <w:szCs w:val="28"/>
          <w:u w:val="single"/>
        </w:rPr>
        <w:tab/>
      </w:r>
      <w:r>
        <w:rPr>
          <w:rFonts w:ascii="Times New Roman" w:hAnsi="Times New Roman" w:eastAsia="Calibri" w:cs="Times New Roman"/>
          <w:sz w:val="28"/>
          <w:szCs w:val="28"/>
        </w:rPr>
        <w:tab/>
      </w:r>
      <w:r>
        <w:rPr>
          <w:rFonts w:ascii="Times New Roman" w:hAnsi="Times New Roman" w:eastAsia="Calibri" w:cs="Times New Roman"/>
          <w:sz w:val="28"/>
          <w:szCs w:val="28"/>
          <w:u w:val="single"/>
        </w:rPr>
        <w:tab/>
      </w:r>
      <w:r>
        <w:rPr>
          <w:rFonts w:ascii="Times New Roman" w:hAnsi="Times New Roman" w:eastAsia="Calibri" w:cs="Times New Roman"/>
          <w:sz w:val="28"/>
          <w:szCs w:val="28"/>
          <w:u w:val="single"/>
        </w:rPr>
        <w:tab/>
      </w:r>
      <w:r>
        <w:rPr>
          <w:rFonts w:ascii="Times New Roman" w:hAnsi="Times New Roman" w:eastAsia="Calibri" w:cs="Times New Roman"/>
          <w:sz w:val="28"/>
          <w:szCs w:val="28"/>
          <w:u w:val="single"/>
        </w:rPr>
        <w:tab/>
      </w:r>
      <w:r>
        <w:rPr>
          <w:rFonts w:ascii="Times New Roman" w:hAnsi="Times New Roman" w:eastAsia="Calibri" w:cs="Times New Roman"/>
          <w:sz w:val="28"/>
          <w:szCs w:val="28"/>
        </w:rPr>
        <w:tab/>
      </w:r>
      <w:r>
        <w:rPr>
          <w:rFonts w:ascii="Times New Roman" w:hAnsi="Times New Roman" w:eastAsia="Calibri" w:cs="Times New Roman"/>
          <w:sz w:val="28"/>
          <w:szCs w:val="28"/>
          <w:u w:val="single"/>
        </w:rPr>
        <w:tab/>
      </w:r>
      <w:r>
        <w:rPr>
          <w:rFonts w:ascii="Times New Roman" w:hAnsi="Times New Roman" w:eastAsia="Calibri" w:cs="Times New Roman"/>
          <w:sz w:val="28"/>
          <w:szCs w:val="28"/>
          <w:u w:val="single"/>
        </w:rPr>
        <w:tab/>
      </w:r>
      <w:r>
        <w:rPr>
          <w:rFonts w:ascii="Times New Roman" w:hAnsi="Times New Roman" w:eastAsia="Calibri" w:cs="Times New Roman"/>
          <w:sz w:val="28"/>
          <w:szCs w:val="28"/>
          <w:u w:val="single"/>
        </w:rPr>
        <w:tab/>
      </w:r>
      <w:r>
        <w:rPr>
          <w:rFonts w:ascii="Times New Roman" w:hAnsi="Times New Roman" w:eastAsia="Calibri" w:cs="Times New Roman"/>
          <w:sz w:val="28"/>
          <w:szCs w:val="28"/>
          <w:u w:val="single"/>
        </w:rPr>
        <w:tab/>
      </w:r>
      <w:r/>
    </w:p>
    <w:p>
      <w:pPr>
        <w:jc w:val="both"/>
        <w:spacing w:after="0" w:line="240" w:lineRule="auto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6336" w:leader="none"/>
        </w:tabs>
        <w:rPr>
          <w:rFonts w:ascii="Times New Roman" w:hAnsi="Times New Roman" w:eastAsia="Calibri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eastAsia="Calibri" w:cs="Times New Roman"/>
          <w:i/>
          <w:sz w:val="28"/>
          <w:szCs w:val="28"/>
          <w:vertAlign w:val="superscript"/>
        </w:rPr>
        <w:t xml:space="preserve"> должность руководителя </w:t>
      </w:r>
      <w:r>
        <w:rPr>
          <w:rFonts w:ascii="Times New Roman" w:hAnsi="Times New Roman" w:eastAsia="Calibri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eastAsia="Calibri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eastAsia="Calibri" w:cs="Times New Roman"/>
          <w:i/>
          <w:sz w:val="28"/>
          <w:szCs w:val="28"/>
          <w:vertAlign w:val="superscript"/>
        </w:rPr>
        <w:tab/>
        <w:t xml:space="preserve">подпись руководителя</w:t>
      </w:r>
      <w:r>
        <w:rPr>
          <w:rFonts w:ascii="Times New Roman" w:hAnsi="Times New Roman" w:eastAsia="Calibri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eastAsia="Calibri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eastAsia="Calibri" w:cs="Times New Roman"/>
          <w:i/>
          <w:sz w:val="28"/>
          <w:szCs w:val="28"/>
          <w:vertAlign w:val="superscript"/>
        </w:rPr>
        <w:tab/>
        <w:t xml:space="preserve">ФИО руководителя</w:t>
      </w:r>
      <w:r/>
    </w:p>
    <w:p>
      <w:pPr>
        <w:jc w:val="both"/>
        <w:spacing w:after="0" w:line="240" w:lineRule="auto"/>
        <w:rPr>
          <w:rFonts w:ascii="Times New Roman" w:hAnsi="Times New Roman" w:eastAsia="Calibri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eastAsia="Calibri" w:cs="Times New Roman"/>
          <w:i/>
          <w:sz w:val="28"/>
          <w:szCs w:val="28"/>
          <w:vertAlign w:val="superscript"/>
        </w:rPr>
        <w:t xml:space="preserve">образовательной организации</w:t>
      </w:r>
      <w:r>
        <w:rPr>
          <w:rFonts w:ascii="Times New Roman" w:hAnsi="Times New Roman" w:eastAsia="Calibri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eastAsia="Calibri" w:cs="Times New Roman"/>
          <w:i/>
          <w:sz w:val="28"/>
          <w:szCs w:val="28"/>
          <w:vertAlign w:val="superscript"/>
        </w:rPr>
        <w:tab/>
        <w:t xml:space="preserve">образовательной организации</w:t>
      </w:r>
      <w:r>
        <w:rPr>
          <w:rFonts w:ascii="Times New Roman" w:hAnsi="Times New Roman" w:eastAsia="Calibri" w:cs="Times New Roman"/>
          <w:i/>
          <w:sz w:val="28"/>
          <w:szCs w:val="28"/>
          <w:vertAlign w:val="superscript"/>
        </w:rPr>
        <w:tab/>
        <w:t xml:space="preserve"> образовательной организации</w:t>
      </w:r>
      <w:r/>
    </w:p>
    <w:p>
      <w:pPr>
        <w:contextualSpacing/>
        <w:ind w:left="4956"/>
        <w:jc w:val="both"/>
        <w:spacing w:after="0" w:line="240" w:lineRule="auto"/>
        <w:rPr>
          <w:rFonts w:ascii="Times New Roman" w:hAnsi="Times New Roman" w:eastAsia="Calibri" w:cs="Times New Roman"/>
          <w:i/>
          <w:sz w:val="16"/>
          <w:szCs w:val="16"/>
          <w:vertAlign w:val="superscript"/>
        </w:rPr>
      </w:pPr>
      <w:r>
        <w:rPr>
          <w:rFonts w:ascii="Times New Roman" w:hAnsi="Times New Roman" w:eastAsia="Calibri" w:cs="Times New Roman"/>
          <w:i/>
          <w:sz w:val="16"/>
          <w:szCs w:val="16"/>
          <w:vertAlign w:val="superscript"/>
        </w:rPr>
      </w:r>
      <w:r/>
    </w:p>
    <w:p>
      <w:pPr>
        <w:contextualSpacing/>
        <w:ind w:left="4956" w:firstLine="708"/>
        <w:jc w:val="both"/>
        <w:spacing w:after="0" w:line="240" w:lineRule="auto"/>
        <w:rPr>
          <w:rFonts w:ascii="Times New Roman" w:hAnsi="Times New Roman" w:eastAsia="Calibri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eastAsia="Calibri" w:cs="Times New Roman"/>
          <w:i/>
          <w:sz w:val="28"/>
          <w:szCs w:val="28"/>
          <w:vertAlign w:val="superscript"/>
        </w:rPr>
        <w:t xml:space="preserve">М.П.</w:t>
      </w:r>
      <w:r/>
    </w:p>
    <w:p>
      <w:pPr>
        <w:jc w:val="both"/>
        <w:spacing w:after="0" w:line="240" w:lineRule="auto"/>
        <w:rPr>
          <w:rFonts w:ascii="Times New Roman" w:hAnsi="Times New Roman" w:eastAsia="Calibri" w:cs="Times New Roman"/>
          <w:sz w:val="28"/>
          <w:szCs w:val="28"/>
          <w:u w:val="single"/>
        </w:rPr>
      </w:pPr>
      <w:r>
        <w:rPr>
          <w:rFonts w:ascii="Times New Roman" w:hAnsi="Times New Roman" w:eastAsia="Calibri" w:cs="Times New Roman"/>
          <w:sz w:val="28"/>
          <w:szCs w:val="28"/>
          <w:u w:val="single"/>
        </w:rPr>
        <w:tab/>
      </w:r>
      <w:r>
        <w:rPr>
          <w:rFonts w:ascii="Times New Roman" w:hAnsi="Times New Roman" w:eastAsia="Calibri" w:cs="Times New Roman"/>
          <w:sz w:val="28"/>
          <w:szCs w:val="28"/>
          <w:u w:val="single"/>
        </w:rPr>
        <w:tab/>
      </w:r>
      <w:r>
        <w:rPr>
          <w:rFonts w:ascii="Times New Roman" w:hAnsi="Times New Roman" w:eastAsia="Calibri" w:cs="Times New Roman"/>
          <w:sz w:val="28"/>
          <w:szCs w:val="28"/>
          <w:u w:val="single"/>
        </w:rPr>
        <w:tab/>
      </w:r>
      <w:r>
        <w:rPr>
          <w:rFonts w:ascii="Times New Roman" w:hAnsi="Times New Roman" w:eastAsia="Calibri" w:cs="Times New Roman"/>
          <w:sz w:val="28"/>
          <w:szCs w:val="28"/>
          <w:u w:val="single"/>
        </w:rPr>
        <w:tab/>
      </w:r>
      <w:r>
        <w:rPr>
          <w:rFonts w:ascii="Times New Roman" w:hAnsi="Times New Roman" w:eastAsia="Calibri" w:cs="Times New Roman"/>
          <w:sz w:val="28"/>
          <w:szCs w:val="28"/>
        </w:rPr>
        <w:tab/>
      </w:r>
      <w:r>
        <w:rPr>
          <w:rFonts w:ascii="Times New Roman" w:hAnsi="Times New Roman" w:eastAsia="Calibri" w:cs="Times New Roman"/>
          <w:sz w:val="28"/>
          <w:szCs w:val="28"/>
          <w:u w:val="single"/>
        </w:rPr>
        <w:tab/>
      </w:r>
      <w:r>
        <w:rPr>
          <w:rFonts w:ascii="Times New Roman" w:hAnsi="Times New Roman" w:eastAsia="Calibri" w:cs="Times New Roman"/>
          <w:sz w:val="28"/>
          <w:szCs w:val="28"/>
          <w:u w:val="single"/>
        </w:rPr>
        <w:tab/>
      </w:r>
      <w:r>
        <w:rPr>
          <w:rFonts w:ascii="Times New Roman" w:hAnsi="Times New Roman" w:eastAsia="Calibri" w:cs="Times New Roman"/>
          <w:sz w:val="28"/>
          <w:szCs w:val="28"/>
          <w:u w:val="single"/>
        </w:rPr>
        <w:tab/>
      </w:r>
      <w:r>
        <w:rPr>
          <w:rFonts w:ascii="Times New Roman" w:hAnsi="Times New Roman" w:eastAsia="Calibri" w:cs="Times New Roman"/>
          <w:sz w:val="28"/>
          <w:szCs w:val="28"/>
        </w:rPr>
        <w:tab/>
      </w:r>
      <w:r>
        <w:rPr>
          <w:rFonts w:ascii="Times New Roman" w:hAnsi="Times New Roman" w:eastAsia="Calibri" w:cs="Times New Roman"/>
          <w:sz w:val="28"/>
          <w:szCs w:val="28"/>
          <w:u w:val="single"/>
        </w:rPr>
        <w:tab/>
      </w:r>
      <w:r>
        <w:rPr>
          <w:rFonts w:ascii="Times New Roman" w:hAnsi="Times New Roman" w:eastAsia="Calibri" w:cs="Times New Roman"/>
          <w:sz w:val="28"/>
          <w:szCs w:val="28"/>
          <w:u w:val="single"/>
        </w:rPr>
        <w:tab/>
      </w:r>
      <w:r>
        <w:rPr>
          <w:rFonts w:ascii="Times New Roman" w:hAnsi="Times New Roman" w:eastAsia="Calibri" w:cs="Times New Roman"/>
          <w:sz w:val="28"/>
          <w:szCs w:val="28"/>
          <w:u w:val="single"/>
        </w:rPr>
        <w:tab/>
      </w:r>
      <w:r>
        <w:rPr>
          <w:rFonts w:ascii="Times New Roman" w:hAnsi="Times New Roman" w:eastAsia="Calibri" w:cs="Times New Roman"/>
          <w:sz w:val="28"/>
          <w:szCs w:val="28"/>
          <w:u w:val="single"/>
        </w:rPr>
        <w:tab/>
      </w:r>
      <w:r/>
    </w:p>
    <w:p>
      <w:pPr>
        <w:spacing w:after="0" w:line="240" w:lineRule="auto"/>
        <w:tabs>
          <w:tab w:val="left" w:pos="708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6336" w:leader="none"/>
        </w:tabs>
        <w:rPr>
          <w:rFonts w:ascii="Times New Roman" w:hAnsi="Times New Roman" w:eastAsia="Calibri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eastAsia="Calibri" w:cs="Times New Roman"/>
          <w:i/>
          <w:sz w:val="28"/>
          <w:szCs w:val="28"/>
          <w:vertAlign w:val="superscript"/>
        </w:rPr>
        <w:t xml:space="preserve"> должность руководителя </w:t>
      </w:r>
      <w:r>
        <w:rPr>
          <w:rFonts w:ascii="Times New Roman" w:hAnsi="Times New Roman" w:eastAsia="Calibri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eastAsia="Calibri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eastAsia="Calibri" w:cs="Times New Roman"/>
          <w:i/>
          <w:sz w:val="28"/>
          <w:szCs w:val="28"/>
          <w:vertAlign w:val="superscript"/>
        </w:rPr>
        <w:tab/>
        <w:t xml:space="preserve">подпись руководителя</w:t>
      </w:r>
      <w:r>
        <w:rPr>
          <w:rFonts w:ascii="Times New Roman" w:hAnsi="Times New Roman" w:eastAsia="Calibri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eastAsia="Calibri" w:cs="Times New Roman"/>
          <w:i/>
          <w:sz w:val="28"/>
          <w:szCs w:val="28"/>
          <w:vertAlign w:val="superscript"/>
        </w:rPr>
        <w:tab/>
        <w:t xml:space="preserve">ФИО руководителя</w:t>
      </w:r>
      <w:r/>
    </w:p>
    <w:p>
      <w:pPr>
        <w:spacing w:after="0" w:line="240" w:lineRule="auto"/>
        <w:rPr>
          <w:rFonts w:ascii="Times New Roman" w:hAnsi="Times New Roman" w:eastAsia="Calibri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eastAsia="Calibri" w:cs="Times New Roman"/>
          <w:i/>
          <w:sz w:val="28"/>
          <w:szCs w:val="28"/>
          <w:vertAlign w:val="superscript"/>
        </w:rPr>
        <w:t xml:space="preserve">органа государственно-общественного</w:t>
      </w:r>
      <w:r/>
    </w:p>
    <w:p>
      <w:pPr>
        <w:spacing w:after="0" w:line="240" w:lineRule="auto"/>
        <w:rPr>
          <w:rFonts w:ascii="Times New Roman" w:hAnsi="Times New Roman" w:eastAsia="Calibri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eastAsia="Calibri" w:cs="Times New Roman"/>
          <w:i/>
          <w:sz w:val="28"/>
          <w:szCs w:val="28"/>
          <w:vertAlign w:val="superscript"/>
        </w:rPr>
        <w:t xml:space="preserve">управления</w:t>
      </w:r>
      <w:r>
        <w:rPr>
          <w:rFonts w:ascii="Times New Roman" w:hAnsi="Times New Roman" w:eastAsia="Calibri" w:cs="Times New Roman"/>
          <w:i/>
          <w:sz w:val="28"/>
          <w:szCs w:val="28"/>
          <w:vertAlign w:val="superscript"/>
        </w:rPr>
        <w:tab/>
      </w:r>
      <w:r/>
    </w:p>
    <w:p>
      <w:pPr>
        <w:contextualSpacing/>
        <w:ind w:left="4956"/>
        <w:jc w:val="both"/>
        <w:spacing w:after="0" w:line="240" w:lineRule="auto"/>
        <w:rPr>
          <w:rFonts w:ascii="Times New Roman" w:hAnsi="Times New Roman" w:eastAsia="Calibri" w:cs="Times New Roman"/>
          <w:i/>
          <w:sz w:val="16"/>
          <w:szCs w:val="16"/>
          <w:vertAlign w:val="superscript"/>
        </w:rPr>
      </w:pPr>
      <w:r>
        <w:rPr>
          <w:rFonts w:ascii="Times New Roman" w:hAnsi="Times New Roman" w:eastAsia="Calibri" w:cs="Times New Roman"/>
          <w:i/>
          <w:sz w:val="16"/>
          <w:szCs w:val="16"/>
          <w:vertAlign w:val="superscript"/>
        </w:rPr>
      </w:r>
      <w:r/>
    </w:p>
    <w:p>
      <w:pPr>
        <w:contextualSpacing/>
        <w:ind w:left="4956" w:firstLine="708"/>
        <w:jc w:val="both"/>
        <w:spacing w:before="240" w:after="0" w:line="360" w:lineRule="auto"/>
        <w:rPr>
          <w:rFonts w:ascii="Times New Roman" w:hAnsi="Times New Roman" w:eastAsia="Calibri" w:cs="Times New Roman"/>
          <w:i/>
          <w:sz w:val="28"/>
          <w:szCs w:val="28"/>
          <w:vertAlign w:val="superscript"/>
        </w:rPr>
      </w:pPr>
      <w:r>
        <w:rPr>
          <w:rFonts w:ascii="Times New Roman" w:hAnsi="Times New Roman" w:eastAsia="Calibri" w:cs="Times New Roman"/>
          <w:i/>
          <w:sz w:val="28"/>
          <w:szCs w:val="28"/>
          <w:vertAlign w:val="superscript"/>
        </w:rPr>
        <w:t xml:space="preserve">М.П</w:t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600"/>
    <w:next w:val="600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601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600"/>
    <w:next w:val="600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601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600"/>
    <w:next w:val="600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601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600"/>
    <w:next w:val="600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601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600"/>
    <w:next w:val="600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601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600"/>
    <w:next w:val="600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601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600"/>
    <w:next w:val="600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601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600"/>
    <w:next w:val="600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601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600"/>
    <w:next w:val="600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601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600"/>
    <w:next w:val="600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601"/>
    <w:link w:val="33"/>
    <w:uiPriority w:val="10"/>
    <w:rPr>
      <w:sz w:val="48"/>
      <w:szCs w:val="48"/>
    </w:rPr>
  </w:style>
  <w:style w:type="paragraph" w:styleId="35">
    <w:name w:val="Subtitle"/>
    <w:basedOn w:val="600"/>
    <w:next w:val="600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601"/>
    <w:link w:val="35"/>
    <w:uiPriority w:val="11"/>
    <w:rPr>
      <w:sz w:val="24"/>
      <w:szCs w:val="24"/>
    </w:rPr>
  </w:style>
  <w:style w:type="paragraph" w:styleId="37">
    <w:name w:val="Quote"/>
    <w:basedOn w:val="600"/>
    <w:next w:val="600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600"/>
    <w:next w:val="600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600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601"/>
    <w:link w:val="41"/>
    <w:uiPriority w:val="99"/>
  </w:style>
  <w:style w:type="paragraph" w:styleId="43">
    <w:name w:val="Footer"/>
    <w:basedOn w:val="600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601"/>
    <w:link w:val="43"/>
    <w:uiPriority w:val="99"/>
  </w:style>
  <w:style w:type="paragraph" w:styleId="45">
    <w:name w:val="Caption"/>
    <w:basedOn w:val="600"/>
    <w:next w:val="60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60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60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0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0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0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147">
    <w:name w:val="List Table 7 Colorful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151">
    <w:name w:val="List Table 7 Colorful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4">
    <w:name w:val="Lined - Accent 2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58">
    <w:name w:val="Lined - Accent 6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1">
    <w:name w:val="Bordered &amp; Lined - Accent 2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5">
    <w:name w:val="Bordered &amp; Lined - Accent 6"/>
    <w:basedOn w:val="60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0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4">
    <w:name w:val="footnote text"/>
    <w:basedOn w:val="600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601"/>
    <w:uiPriority w:val="99"/>
    <w:unhideWhenUsed/>
    <w:rPr>
      <w:vertAlign w:val="superscript"/>
    </w:rPr>
  </w:style>
  <w:style w:type="paragraph" w:styleId="177">
    <w:name w:val="endnote text"/>
    <w:basedOn w:val="600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601"/>
    <w:uiPriority w:val="99"/>
    <w:semiHidden/>
    <w:unhideWhenUsed/>
    <w:rPr>
      <w:vertAlign w:val="superscript"/>
    </w:rPr>
  </w:style>
  <w:style w:type="paragraph" w:styleId="180">
    <w:name w:val="toc 1"/>
    <w:basedOn w:val="600"/>
    <w:next w:val="600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600"/>
    <w:next w:val="600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600"/>
    <w:next w:val="600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600"/>
    <w:next w:val="600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600"/>
    <w:next w:val="600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600"/>
    <w:next w:val="600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600"/>
    <w:next w:val="600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600"/>
    <w:next w:val="600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600"/>
    <w:next w:val="600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600"/>
    <w:next w:val="600"/>
    <w:uiPriority w:val="99"/>
    <w:unhideWhenUsed/>
    <w:pPr>
      <w:spacing w:after="0" w:afterAutospacing="0"/>
    </w:pPr>
  </w:style>
  <w:style w:type="paragraph" w:styleId="600" w:default="1">
    <w:name w:val="Normal"/>
    <w:qFormat/>
    <w:pPr>
      <w:spacing w:after="200" w:line="276" w:lineRule="auto"/>
    </w:pPr>
  </w:style>
  <w:style w:type="character" w:styleId="601" w:default="1">
    <w:name w:val="Default Paragraph Font"/>
    <w:uiPriority w:val="1"/>
    <w:semiHidden/>
    <w:unhideWhenUsed/>
  </w:style>
  <w:style w:type="table" w:styleId="60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3" w:default="1">
    <w:name w:val="No List"/>
    <w:uiPriority w:val="99"/>
    <w:semiHidden/>
    <w:unhideWhenUsed/>
  </w:style>
  <w:style w:type="character" w:styleId="604">
    <w:name w:val="Hyperlink"/>
    <w:basedOn w:val="601"/>
    <w:uiPriority w:val="99"/>
    <w:unhideWhenUsed/>
    <w:rPr>
      <w:color w:val="0563c1" w:themeColor="hyperlink"/>
      <w:u w:val="single"/>
    </w:rPr>
  </w:style>
  <w:style w:type="paragraph" w:styleId="605">
    <w:name w:val="List Paragraph"/>
    <w:basedOn w:val="600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yperlink" Target="http://www.nik-edu.ru/" TargetMode="External"/><Relationship Id="rId10" Type="http://schemas.openxmlformats.org/officeDocument/2006/relationships/hyperlink" Target="mailto:mail@nik.edu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R7-Office/7.2.1.14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G. Osipov</dc:creator>
  <cp:keywords/>
  <dc:description/>
  <cp:lastModifiedBy>vko@effektiko.ru</cp:lastModifiedBy>
  <cp:revision>86</cp:revision>
  <dcterms:created xsi:type="dcterms:W3CDTF">2022-11-03T14:04:00Z</dcterms:created>
  <dcterms:modified xsi:type="dcterms:W3CDTF">2023-01-21T09:47:46Z</dcterms:modified>
</cp:coreProperties>
</file>