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во всероссийском конкурсе 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 образования» (Карта инновации)</w:t>
      </w:r>
    </w:p>
    <w:tbl>
      <w:tblPr>
        <w:tblW w:w="9605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126"/>
        <w:gridCol w:w="7478"/>
      </w:tblGrid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города Новосибирска «Аэрокосмический лицей имени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Кондратюка»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Тумаева Татьяна Мироновна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630015, г. Новосибирск, ул. Индустриальная, 4а, 8(383)279-55-85, </w:t>
            </w:r>
            <w:hyperlink r:id="rId2">
              <w:r>
                <w:rPr>
                  <w:rStyle w:val="Style14"/>
                  <w:rFonts w:ascii="Times New Roman" w:hAnsi="Times New Roman"/>
                  <w:bCs/>
                  <w:color w:val="0070C0"/>
                </w:rPr>
                <w:t>akl.edu54.ru</w:t>
              </w:r>
            </w:hyperlink>
            <w:r>
              <w:rPr>
                <w:rStyle w:val="Style14"/>
                <w:rFonts w:ascii="Times New Roman" w:hAnsi="Times New Roman"/>
                <w:bCs/>
                <w:color w:val="0070C0"/>
              </w:rPr>
              <w:t xml:space="preserve">;  </w:t>
            </w:r>
            <w:hyperlink r:id="rId3">
              <w:r>
                <w:rPr>
                  <w:rStyle w:val="Style14"/>
                  <w:rFonts w:ascii="Times New Roman" w:hAnsi="Times New Roman"/>
                  <w:color w:val="0070C0"/>
                </w:rPr>
                <w:t>licey_kondratuka_nsk@mail.ru</w:t>
              </w:r>
            </w:hyperlink>
            <w:r>
              <w:rPr>
                <w:rFonts w:cs="Arial" w:ascii="Arial" w:hAnsi="Arial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эффективной системы выявления, поддержки и развития способностей и талантов учащихся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Модель специализированного инженерного класса –  ресурс развития и поддержки одаренных детей в МБОУ г. Новосибирска «Аэрокосмический лицей им. Ю.В. Кондратюка»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Тумаева Татьяна Мироновна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Малыгина Людмила Павловна</w:t>
            </w:r>
          </w:p>
        </w:tc>
      </w:tr>
      <w:tr>
        <w:trPr>
          <w:trHeight w:val="335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Цель инновации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: «Ф</w:t>
            </w:r>
            <w:r>
              <w:rPr>
                <w:rFonts w:ascii="Times New Roman" w:hAnsi="Times New Roman"/>
                <w:sz w:val="24"/>
                <w:szCs w:val="28"/>
              </w:rPr>
              <w:t>ормирование эффективной образовательной среды для качественной подготовки учащихся специализированных инженерных классов через сетевое взаимодействие с организациями дополнительного образования, вузами, НИИ, предприятиями».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/>
                <w:b/>
                <w:b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Комплекс задач: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обеспечить формирование интеллектуальных и надпрофессиональных  компетенций через организацию деятельности: познавательной, информационно-коммуникативной, научно-исследовательской и проектной;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firstLine="33"/>
              <w:jc w:val="both"/>
              <w:rPr/>
            </w:pPr>
            <w:r>
              <w:rPr>
                <w:rFonts w:ascii="Times New Roman" w:hAnsi="Times New Roman"/>
                <w:sz w:val="24"/>
                <w:szCs w:val="28"/>
              </w:rPr>
              <w:t>развивать партнерство с техническими вузами, исследовательскими лабораториями и промышленными предприятиями;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firstLine="33"/>
              <w:jc w:val="both"/>
              <w:rPr/>
            </w:pPr>
            <w:r>
              <w:rPr>
                <w:rFonts w:ascii="Times New Roman" w:hAnsi="Times New Roman"/>
                <w:sz w:val="24"/>
                <w:szCs w:val="28"/>
              </w:rPr>
              <w:t>совершенствовать систему сетевого взаимодействия с учреждениями дополнительного образования;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создать условия для использования новых информационных технологий в образовательном процессе;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обеспечить наличие современного инженерного оборудования для реализации образовательной программы;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способствовать повышению профессионального мастерства педагогов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Содержание инновационной деятельности.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Разработана модель лицейского инженерного образования, которая отражает запросы одаренных детей на повышенный уровень обучения по инженерно-технологическому профилю. Креативная образовательная среда лицея формирует инженерные компетенции, позволяющие сделать шаг к будущей профессиональной деятельности. Используются инновационные механизмы реализации модели в специализированных классах, что дает возможность получить высокие личные образовательные результаты, и успешно поступить выпускникам в вузы технического профиля.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Направление «Инновационные подходы к обучению в специализированных классах инженерно-технологического профиля»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.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Разработана модель инженерного образования в лицее.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b/>
                <w:b/>
                <w:i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Реализована лицейская модель специализированных классов инженерно-технологического профиля. Проект является инновационным документом, моделирующим совершенствование системы внеурочной деятельности в специализированных классах лицея. Представлен на Международную выставку  «УчСиб-2016», награжден  Большой золотой медалью</w:t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. 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3. Реализован проект «Развитие личности лицеиста через тьюторское сопровождение в специализированных классах в образовательном пространстве лицея». Проект является инновационным документом, отражающим модель педагогической деятельности тьютора по сопровождению обучающихся в специализированных классах лицея. Представлен на Международную выставку  «УчСиб-2017», награжден  Большой золотой медалью. 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Разработана и внедрена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«Система психолого-педагогического сопровождения как условие формирования субъектной позиции интеллектуально одаренных обучающихся». Данный проект отражает систему изменения образовательной среды, в рамках реализации ФГОС,  является инновационным продуктом. Представлен на Международную выставку  «УчСиб-2018», награжден  Серебряной медалью. 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 Образовательная программа  предпрофессионального самоопределения обучающихся  «Уроки настоящего»  в контексте Стратегии национально-технологического развития России. Проект является инновационным документом, отражающим модель педагогической деятельности  по сопровождению обучающихся в предпрофессиональном самоопределении в рамках общероссийской Стратегии национально-технологического развития.  Представлен на Международную выставку  «УчСиб-2018», награжден  Большой золотой медалью.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 Портфель проектов «Лицейские каникулы – открытое пространство образования, развития и социализации обучающихся». Актуальность портфеля проектов в том, что в его рамках обучающиеся включаются в различные виды социальных отношений, приобретают опыт партнерских отношений лицеистов друг с другом, со взрослыми, опыт работы в команде, пробуют свои силы в разных видах научной, технической и общественной деятельности. .  Представлен на Международную выставку  «УчСиб-2018», награжден  Большой золотой медалью.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color w:val="383838"/>
                <w:sz w:val="24"/>
                <w:szCs w:val="24"/>
                <w:lang w:eastAsia="ru-RU"/>
              </w:rPr>
              <w:t>7. Р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азработана концепция лицейского технопарка. «</w:t>
            </w:r>
            <w:r>
              <w:rPr>
                <w:rFonts w:eastAsia="Times New Roman" w:ascii="Times New Roman" w:hAnsi="Times New Roman"/>
                <w:sz w:val="25"/>
                <w:szCs w:val="25"/>
                <w:lang w:eastAsia="ru-RU"/>
              </w:rPr>
              <w:t>Лицейский технопарк как инновационная структура внеурочной деятельности» Проект является инновационным документом, отражающим содержание инженерно-технологического образования посредством разработки и внедрения модели лицейского технопарка.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Представлен на Международную выставку  «Учебная Сибирь-2019», награжден  Малой золотой медалью.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8. Сетевое взаимодействие с региональным ресурсным центром «Альтаир» (филиал «Сириуса»): участие в профильных сменах, в олимпиаде НТИ, «Большие вызовы», «Реактор - кружковое движение».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spacing w:lineRule="auto" w:line="240" w:before="0" w:after="0"/>
              <w:ind w:firstLine="33"/>
              <w:jc w:val="both"/>
              <w:rPr>
                <w:rFonts w:ascii="Times New Roman" w:hAnsi="Times New Roman"/>
                <w:sz w:val="10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9. Участие  обучающихся в олимпиадах и конкурсах муниципального, регионального и федерального уровней.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color w:val="231A01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231A01"/>
                <w:lang w:eastAsia="ru-RU"/>
              </w:rPr>
              <w:t>Позитивная динамика качества обученности по ЕГЭ</w:t>
            </w:r>
          </w:p>
          <w:p>
            <w:pPr>
              <w:pStyle w:val="Normal"/>
              <w:spacing w:before="0" w:after="160"/>
              <w:ind w:firstLine="24"/>
              <w:contextualSpacing/>
              <w:jc w:val="both"/>
              <w:rPr>
                <w:rFonts w:ascii="Times New Roman" w:hAnsi="Times New Roman"/>
                <w:b/>
                <w:b/>
                <w:i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</w:rPr>
              <w:t>Во Всероссийском рейтинге по результатам ОГЭ лицей занимает 218 место в 2018 г</w:t>
            </w:r>
            <w:r>
              <w:rPr>
                <w:rFonts w:ascii="Times New Roman" w:hAnsi="Times New Roman"/>
                <w:b/>
                <w:i/>
                <w:u w:val="single"/>
              </w:rPr>
              <w:t>.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b/>
                <w:b/>
                <w:i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Лицей по итогам ЕГЭ входит в ТОП-5 лучших школ г. Новосибирска по данным НИМРО в 2019 г.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Результаты ОГЭ выпускников 9-х классов за 3 года</w:t>
            </w:r>
          </w:p>
          <w:tbl>
            <w:tblPr>
              <w:tblW w:w="7259" w:type="dxa"/>
              <w:jc w:val="center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1" w:firstColumn="1" w:lastColumn="1" w:noHBand="0" w:val="01e0"/>
            </w:tblPr>
            <w:tblGrid>
              <w:gridCol w:w="1647"/>
              <w:gridCol w:w="1192"/>
              <w:gridCol w:w="1508"/>
              <w:gridCol w:w="1121"/>
              <w:gridCol w:w="1791"/>
            </w:tblGrid>
            <w:tr>
              <w:trPr>
                <w:trHeight w:val="609" w:hRule="atLeast"/>
                <w:cantSplit w:val="true"/>
              </w:trPr>
              <w:tc>
                <w:tcPr>
                  <w:tcW w:w="16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2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2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Год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2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Кол-во выпускников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2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Кач., %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2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Абс.,%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2016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74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94,5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2017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3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2018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85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Информатика и ИКТ</w:t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2016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2017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42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2018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2016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74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97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2017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97,5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2018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85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98,8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2016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74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74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2017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81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79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>
              <w:trPr>
                <w:trHeight w:val="175" w:hRule="atLeast"/>
                <w:cantSplit w:val="true"/>
              </w:trPr>
              <w:tc>
                <w:tcPr>
                  <w:tcW w:w="1647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/>
                  </w:pPr>
                  <w:r>
                    <w:rPr/>
                  </w:r>
                </w:p>
              </w:tc>
              <w:tc>
                <w:tcPr>
                  <w:tcW w:w="11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2018</w:t>
                  </w:r>
                </w:p>
              </w:tc>
              <w:tc>
                <w:tcPr>
                  <w:tcW w:w="1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84</w:t>
                  </w:r>
                </w:p>
              </w:tc>
              <w:tc>
                <w:tcPr>
                  <w:tcW w:w="11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84,5</w:t>
                  </w:r>
                </w:p>
              </w:tc>
              <w:tc>
                <w:tcPr>
                  <w:tcW w:w="1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</w:tbl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Результаты ЕГЭ выпускников 11-х классов за 3 года</w:t>
            </w:r>
          </w:p>
          <w:tbl>
            <w:tblPr>
              <w:tblW w:w="7288" w:type="dxa"/>
              <w:jc w:val="center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903"/>
              <w:gridCol w:w="955"/>
              <w:gridCol w:w="1350"/>
              <w:gridCol w:w="1242"/>
              <w:gridCol w:w="1838"/>
            </w:tblGrid>
            <w:tr>
              <w:trPr>
                <w:tblHeader w:val="true"/>
                <w:trHeight w:val="20" w:hRule="atLeast"/>
              </w:trPr>
              <w:tc>
                <w:tcPr>
                  <w:tcW w:w="190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jc w:val="center"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Предмет</w:t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Кол-во,</w:t>
                  </w:r>
                </w:p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чел./%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Ср. балл АКЛ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jc w:val="center"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Доля участников, сдавших предмет на высоком уровне, %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Физика</w:t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2016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48/66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56,8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40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2017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39/51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57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20,5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2018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38/56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59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45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Математика</w:t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2016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72/99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69,5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73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2017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71/92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69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73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2018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65/96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62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45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Информатика</w:t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2016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31/42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70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2017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26/33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72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15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2018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24/35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68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21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21"/>
                    <w:contextualSpacing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Русский язык</w:t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2016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73/100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77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61,5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2017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77/100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75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50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1903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</w:p>
              </w:tc>
              <w:tc>
                <w:tcPr>
                  <w:tcW w:w="9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2018</w:t>
                  </w:r>
                </w:p>
              </w:tc>
              <w:tc>
                <w:tcPr>
                  <w:tcW w:w="135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68/100</w:t>
                  </w:r>
                </w:p>
              </w:tc>
              <w:tc>
                <w:tcPr>
                  <w:tcW w:w="12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77</w:t>
                  </w:r>
                </w:p>
              </w:tc>
              <w:tc>
                <w:tcPr>
                  <w:tcW w:w="1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37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63</w:t>
                  </w:r>
                </w:p>
              </w:tc>
            </w:tr>
          </w:tbl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Результаты аттестации в форме ЕГЭ выпускников 11-х классов за 2019</w:t>
            </w:r>
          </w:p>
          <w:tbl>
            <w:tblPr>
              <w:tblStyle w:val="a5"/>
              <w:tblW w:w="7299" w:type="dxa"/>
              <w:jc w:val="center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670"/>
              <w:gridCol w:w="1335"/>
              <w:gridCol w:w="1300"/>
              <w:gridCol w:w="1269"/>
              <w:gridCol w:w="1725"/>
            </w:tblGrid>
            <w:tr>
              <w:trPr>
                <w:trHeight w:val="1368" w:hRule="atLeast"/>
              </w:trPr>
              <w:tc>
                <w:tcPr>
                  <w:tcW w:w="1670" w:type="dxa"/>
                  <w:tcBorders/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335" w:type="dxa"/>
                  <w:tcBorders/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  <w:lang w:eastAsia="ru-RU"/>
                    </w:rPr>
                    <w:t>Кол-во,</w:t>
                  </w:r>
                </w:p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  <w:lang w:eastAsia="ru-RU"/>
                    </w:rPr>
                    <w:t>чел./%</w:t>
                  </w:r>
                </w:p>
              </w:tc>
              <w:tc>
                <w:tcPr>
                  <w:tcW w:w="1300" w:type="dxa"/>
                  <w:tcBorders/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  <w:lang w:eastAsia="ru-RU"/>
                    </w:rPr>
                    <w:t>Ср. балл АКЛ</w:t>
                  </w:r>
                </w:p>
              </w:tc>
              <w:tc>
                <w:tcPr>
                  <w:tcW w:w="1269" w:type="dxa"/>
                  <w:tcBorders/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2"/>
                      <w:lang w:eastAsia="en-US"/>
                    </w:rPr>
                    <w:t>Кол-во сдавших на высоком уровне</w:t>
                  </w: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  <w:lang w:eastAsia="ru-RU"/>
                    </w:rPr>
                    <w:t>, чел./%</w:t>
                  </w:r>
                </w:p>
              </w:tc>
              <w:tc>
                <w:tcPr>
                  <w:tcW w:w="1725" w:type="dxa"/>
                  <w:tcBorders/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i/>
                      <w:i/>
                    </w:rPr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  <w:lang w:eastAsia="ru-RU"/>
                    </w:rPr>
                    <w:t>Наибольший результат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81/100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78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49/60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100 – Герасимович Г.</w:t>
                  </w:r>
                </w:p>
                <w:p>
                  <w:pPr>
                    <w:pStyle w:val="Normal"/>
                    <w:spacing w:lineRule="auto" w:line="240" w:before="0" w:after="0"/>
                    <w:ind w:hanging="0"/>
                    <w:jc w:val="left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Математика (проф.)</w:t>
                  </w:r>
                </w:p>
              </w:tc>
              <w:tc>
                <w:tcPr>
                  <w:tcW w:w="1335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77/95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72,5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63/82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92 – Агеенко Н., Герасимович Г., Короткова С.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45/55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65,5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26/57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96  – Агеенко Н.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19/23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71,8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8/42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99- Афанасенко Э.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2/2,5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0/0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55 – Нехорошев М.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8/9,8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81,75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6/75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90 – Голобокова А.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История </w:t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2/2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80,5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1/50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93 – Голобокова А.</w:t>
                  </w:r>
                </w:p>
              </w:tc>
            </w:tr>
            <w:tr>
              <w:trPr/>
              <w:tc>
                <w:tcPr>
                  <w:tcW w:w="167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133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firstLine="3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3/3,7</w:t>
                  </w:r>
                </w:p>
              </w:tc>
              <w:tc>
                <w:tcPr>
                  <w:tcW w:w="1300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1269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0/0</w:t>
                  </w:r>
                </w:p>
              </w:tc>
              <w:tc>
                <w:tcPr>
                  <w:tcW w:w="1725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hanging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77 – Сергеев Д.</w:t>
                  </w:r>
                </w:p>
              </w:tc>
            </w:tr>
          </w:tbl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амоопределение выпускников </w:t>
            </w:r>
            <w:r>
              <w:rPr>
                <w:rFonts w:eastAsia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 3 года</w:t>
            </w:r>
          </w:p>
          <w:tbl>
            <w:tblPr>
              <w:tblW w:w="7241" w:type="dxa"/>
              <w:jc w:val="center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105"/>
              <w:gridCol w:w="1141"/>
              <w:gridCol w:w="1001"/>
              <w:gridCol w:w="993"/>
            </w:tblGrid>
            <w:tr>
              <w:trPr>
                <w:tblHeader w:val="true"/>
                <w:trHeight w:val="657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ВУЗ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2016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8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2017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2018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вузы инженерной направленности, %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вузы военной направленности, %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другие вузы, %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Всего вузы, чел.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spacing w:lineRule="auto" w:line="240" w:before="0" w:after="0"/>
                    <w:ind w:left="0"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Бюджет, %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numPr>
                      <w:ilvl w:val="0"/>
                      <w:numId w:val="2"/>
                    </w:numPr>
                    <w:spacing w:lineRule="auto" w:line="240" w:before="0" w:after="0"/>
                    <w:ind w:left="0"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Контракт, %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</w:tr>
            <w:tr>
              <w:trPr>
                <w:trHeight w:val="113" w:hRule="atLeast"/>
              </w:trPr>
              <w:tc>
                <w:tcPr>
                  <w:tcW w:w="41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Итого выпускников</w:t>
                  </w:r>
                </w:p>
              </w:tc>
              <w:tc>
                <w:tcPr>
                  <w:tcW w:w="114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0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ind w:firstLine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lang w:eastAsia="ru-RU"/>
              </w:rPr>
              <w:t>Таблица поступления в вузы в 2019 году</w:t>
            </w:r>
          </w:p>
          <w:tbl>
            <w:tblPr>
              <w:tblW w:w="8239" w:type="dxa"/>
              <w:jc w:val="left"/>
              <w:tblInd w:w="0" w:type="dxa"/>
              <w:shd w:fill="DBE5F1" w:val="clear"/>
              <w:tblCellMar>
                <w:top w:w="15" w:type="dxa"/>
                <w:left w:w="103" w:type="dxa"/>
                <w:bottom w:w="0" w:type="dxa"/>
                <w:right w:w="103" w:type="dxa"/>
              </w:tblCellMar>
              <w:tblLook w:firstRow="1" w:noVBand="0" w:lastRow="1" w:firstColumn="1" w:lastColumn="1" w:noHBand="0" w:val="01e0"/>
            </w:tblPr>
            <w:tblGrid>
              <w:gridCol w:w="5949"/>
              <w:gridCol w:w="2289"/>
            </w:tblGrid>
            <w:tr>
              <w:trPr>
                <w:trHeight w:val="241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160"/>
                    <w:ind w:firstLine="56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вуз, колледж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color="auto" w:fill="DBE5F1" w:themeFill="accent1" w:themeFillTint="33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b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   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кол-во 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чел.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НГТУ (ФЭН, ФПМИ, РЭФ, ФЛА, ФГО, МТФ)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eastAsia="Times New Roman" w:ascii="Times New Roman" w:hAnsi="Times New Roman"/>
                      <w:bCs/>
                    </w:rPr>
                    <w:t>20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НГУ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15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СГУПС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bCs/>
                    </w:rPr>
                    <w:t>4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>МАИ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ТГУ (г. Томск)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3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НГАУ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3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НГАСУ (СибСТРИН)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4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>РАНХиГС (</w:t>
                  </w:r>
                  <w:r>
                    <w:rPr>
                      <w:rFonts w:ascii="Times New Roman" w:hAnsi="Times New Roman"/>
                      <w:bCs/>
                    </w:rPr>
                    <w:t>СибАГС, г. Москва)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МГТУ им. Н.Э. Баумана (г. Москва)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541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ИТМО (Санкт-Петербургский национальный исследовательский университет информационных технологий, механики и оптики)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Cs/>
                    </w:rPr>
                    <w:t>3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МГСУ (строительный университет)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Институт современного искусства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bCs/>
                    </w:rPr>
                    <w:t>2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СибГУТИ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bCs/>
                    </w:rPr>
                    <w:t>2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СПбГУ ГА (гражданской авиации, г. Санкт-Петербург 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479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ТГАСУ (Томский государственный архитектурно-строительный университет)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 xml:space="preserve">СПбГУ (г. </w:t>
                  </w:r>
                  <w:r>
                    <w:rPr>
                      <w:rFonts w:ascii="Times New Roman" w:hAnsi="Times New Roman"/>
                      <w:bCs/>
                    </w:rPr>
                    <w:t>Санкт-Петербург)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2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 xml:space="preserve">СПбГУ  Академия ветеринарной медицины (г. </w:t>
                  </w:r>
                  <w:r>
                    <w:rPr>
                      <w:rFonts w:ascii="Times New Roman" w:hAnsi="Times New Roman"/>
                      <w:bCs/>
                    </w:rPr>
                    <w:t>Санкт-Петербург)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ВШЭ (г. Санкт-Петербург)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Институт гражданской авиации (г. Ульяновск)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НГУЭУ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3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5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РАНХиГС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3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53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>НГМУ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2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5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Сибирский институт управления – филиал РАНХиГС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538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53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>СГУГИТ (Сибирский государственный университет геосистем и технологий)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fill="DBE5F1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3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95" w:hRule="atLeast"/>
              </w:trPr>
              <w:tc>
                <w:tcPr>
                  <w:tcW w:w="5949" w:type="dxa"/>
                  <w:tcBorders>
                    <w:top w:val="single" w:sz="8" w:space="0" w:color="A5A5A5"/>
                    <w:left w:val="single" w:sz="8" w:space="0" w:color="A5A5A5"/>
                    <w:bottom w:val="single" w:sz="1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ind w:firstLine="53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Cs/>
                    </w:rPr>
                    <w:t>Пражский университет (Чехия)</w:t>
                  </w:r>
                </w:p>
              </w:tc>
              <w:tc>
                <w:tcPr>
                  <w:tcW w:w="2289" w:type="dxa"/>
                  <w:tcBorders>
                    <w:top w:val="single" w:sz="8" w:space="0" w:color="A5A5A5"/>
                    <w:left w:val="single" w:sz="8" w:space="0" w:color="A5A5A5"/>
                    <w:bottom w:val="single" w:sz="18" w:space="0" w:color="A5A5A5"/>
                    <w:right w:val="single" w:sz="8" w:space="0" w:color="A5A5A5"/>
                  </w:tcBorders>
                  <w:shd w:fill="DBE5F1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      </w:t>
                  </w:r>
                  <w:r>
                    <w:rPr>
                      <w:rFonts w:ascii="Times New Roman" w:hAnsi="Times New Roman"/>
                      <w:bCs/>
                    </w:rPr>
                    <w:t>1</w:t>
                  </w:r>
                </w:p>
              </w:tc>
            </w:tr>
            <w:tr>
              <w:trPr>
                <w:trHeight w:val="272" w:hRule="atLeast"/>
              </w:trPr>
              <w:tc>
                <w:tcPr>
                  <w:tcW w:w="5949" w:type="dxa"/>
                  <w:tcBorders>
                    <w:top w:val="single" w:sz="1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ind w:firstLine="5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Всего выпускников/ бюджет</w:t>
                  </w:r>
                </w:p>
              </w:tc>
              <w:tc>
                <w:tcPr>
                  <w:tcW w:w="2289" w:type="dxa"/>
                  <w:tcBorders>
                    <w:top w:val="single" w:sz="18" w:space="0" w:color="A5A5A5"/>
                    <w:left w:val="single" w:sz="8" w:space="0" w:color="A5A5A5"/>
                    <w:bottom w:val="single" w:sz="8" w:space="0" w:color="A5A5A5"/>
                    <w:right w:val="single" w:sz="8" w:space="0" w:color="A5A5A5"/>
                  </w:tcBorders>
                  <w:shd w:color="auto" w:fill="DBE5F1" w:themeFill="accent1" w:themeFillTint="33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</w:rPr>
                    <w:t xml:space="preserve">   </w:t>
                  </w:r>
                  <w:r>
                    <w:rPr>
                      <w:rFonts w:eastAsia="Times New Roman" w:ascii="Times New Roman" w:hAnsi="Times New Roman"/>
                      <w:b/>
                      <w:bCs/>
                    </w:rPr>
                    <w:t>79/66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4"/>
                <w:lang w:eastAsia="ru-RU"/>
              </w:rPr>
              <w:t>Динамика участия в конференциях и конкурсах за 3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lang w:eastAsia="ru-RU"/>
              </w:rPr>
            </w:pPr>
            <w:r>
              <w:rPr/>
              <w:drawing>
                <wp:inline distT="0" distB="0" distL="0" distR="0">
                  <wp:extent cx="4617720" cy="1996440"/>
                  <wp:effectExtent l="0" t="0" r="0" b="0"/>
                  <wp:docPr id="1" name="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34"/>
              <w:contextualSpacing/>
              <w:rPr>
                <w:rFonts w:ascii="Times New Roman" w:hAnsi="Times New Roman" w:eastAsia="Times New Roman"/>
                <w:b/>
                <w:b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Лицей вошел в ТОП – 300 рейтинга агентства RAEX 2018 школ по количеству выпускников, поступивших в ведущие вузы России;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представления: </w:t>
            </w:r>
            <w:r>
              <w:rPr>
                <w:rFonts w:eastAsia="Times New Roman" w:ascii="Times New Roman" w:hAnsi="Times New Roman"/>
                <w:color w:val="000000"/>
                <w:shd w:fill="FFFFFF" w:val="clear"/>
                <w:lang w:eastAsia="ru-RU"/>
              </w:rPr>
              <w:t>Обобщение и распространение педагогического опыта в рамках профессионального сообщества в форме мастер-классов, выступлений на семинарах, конференциях, вебинарах, курсах повышения квалификации, в рамках которых демонстрировался данный педагогический опыт, публикации. Трансляция опыта на форумах: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форум технологического развития «Технопром-2019»;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форум «Сибирская аграрная неделя-2019»;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«MAGISTER» перспективных замыслов и эффективных практик обучения, воспитания и социокультурного развития детей и молодежи в современном мире под эгидой Международной славянской академии наук, образования, искусств и культуры – 3 Золотых медали;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 инновационных продуктов, лицей награжден медалью «За новаторство в образовании», дипломом «Самый лучший проект» - г. Санкт-Петербург;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«Предприятие – Лидер. XXI век», победитель, г. Нижний Новгород;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«УПРАВЛЕНЧЕСКИЙ РЕСУРС» под эгидой Международной славянской академии наук, образования, искусств и культуры − Золотая медаль;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Минобрнауки РФ ФЦПРО-2.3-03-01. «Си-стема управления качеством образования в школе»;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научно-практический семинар «Система управления качеством образования в современной образовательной  организации», г. Санкт-Петербург;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вошел ТОП – 900 "Творчески работающих коллективов школ, гимназий, лицеев России", согласно конкурсу Управления информационной политики и массовых мероприятий РФ и педагогического сообщества «Росметодкабинет.РФ» (2018г.);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Фонд президентских грантов «Повышение качества образования в малокомплектных школах  и в школах, функционирующих в неблагоприятных социальных условиях Новосибирской области при использовании модели сетевого взаимодействия».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инно-вации в практику общеобразовательных учреждений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34" w:hanging="0"/>
              <w:contextualSpacing/>
              <w:rPr>
                <w:rFonts w:ascii="Times New Roman" w:hAnsi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Опыт инновационной работы лицея по направлению «Управление качеством образования в образовательной организации» активно использовался и внедрялся в ОО-партнерах по региональному проекту «Внедрение  модели системы управления качеством образования в образовательных организациях Новосибирской области»:</w:t>
            </w:r>
          </w:p>
          <w:p>
            <w:pPr>
              <w:pStyle w:val="ListParagraph"/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  <w:tab/>
              <w:t>Консалтинговый центр как эффективная форма инновационной и методической работы. Проект является концептуальным инновационным документом, моделирующим и планирующим совершенствование региональной системы управления качеством образования в Новосибирской области, согласно Международным стандартам ISO 9000. Представлен на Международную выставку «ITE Сибирская ярмарка», «УчСиб-2017», награжден  Большой золотой медалью. Внедрение опыта в школах: МБОУ СОШ № 93, Барабинский район; МБОУ СОШ № 1, Маслянинский район; МБОУ СОШ № 1, МКОУ СОШ № 2, п. Краснообск, Новосибирский район, МБОУ технический лицей № 176, Карасукский район, МБОУ лицей № 2, Купинский район, МАОУ лицей № 176, МАОУ гимназия № 10 МАОУ лицей № 9,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МАОУ лицей № 136, г. Новосибирск.</w:t>
            </w:r>
          </w:p>
          <w:p>
            <w:pPr>
              <w:pStyle w:val="ListParagraph"/>
              <w:tabs>
                <w:tab w:val="clear" w:pos="708"/>
                <w:tab w:val="left" w:pos="317" w:leader="none"/>
              </w:tabs>
              <w:spacing w:lineRule="auto" w:line="240" w:before="0" w:after="0"/>
              <w:ind w:left="34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  <w:tab/>
              <w:t>Методология и инструментарий разработки и внедрения процесса «Управления по результатам» для школ с устойчиво низкими образовательными результатами". Проект является концептуальным инновационным документом, моделирующим и планирующим совершенствование системы управления качеством образования в образовательной организации,  находящейся в неблагоприятных социально-экономических условиях. Представлен на Международную выставку «ITE Сибирская ярмарка», «УчСиб-2018», награжден  Большой золотой медалью. Внедрение опыта в школах: МБОУ СОШ № 1, Ордынский район, Первомайская СОШ, Татарский район, МКОУ «Издревинская СШ №58», Новосибирский район.</w:t>
            </w:r>
          </w:p>
          <w:p>
            <w:pPr>
              <w:pStyle w:val="ListParagraph"/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  <w:tab/>
              <w:t>Из опыта реализации модели сетевого взаимодействия для улучшения качества образования на основе принципов СМК. Проект является инновационным документом,  предлагающим методические подходы для повышения качества образования в школах с низкими результатами обучения и в школах, функционирующих в неблагоприятных социальных условиях. Представлен на Международную выставку  «Учебная Сибирь-2019», награжден  Большой золотой медалью. Внедрение опыта в школах: МКОУ «Издревинская СШ №58», МКОУ Железнодорожная СОШ №121, МКОУ «Мичуринская СОШ №123», Новосибирский район – школы УНОР вышли из зоны риска. МБОУ Неудачинская СОШ, Татарского района, МКОУ – Филипповская СОШ, Ордынский район - вышли из зоны риска.</w:t>
            </w:r>
          </w:p>
          <w:p>
            <w:pPr>
              <w:pStyle w:val="ListParagraph"/>
              <w:tabs>
                <w:tab w:val="clear" w:pos="708"/>
                <w:tab w:val="left" w:pos="317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МБОУ Гимназия № 3  в Академгородке.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Продуктом реализации проекта по инженерному образованию являет-ся методически обоснованная модель организации инженерного обра-зования в школах, мотивированных на открытие специализированных классов инженерного и естественнонаучного профиля. Модель востребована, опирается на Международные стандарты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обновлению инженерного образования в высшей школе.</w:t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4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e33c4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476de1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6594b"/>
    <w:rPr>
      <w:rFonts w:ascii="Tahoma" w:hAnsi="Tahoma" w:eastAsia="Calibri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sz w:val="24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ascii="Times New Roman" w:hAnsi="Times New Roman"/>
      <w:bCs/>
      <w:color w:val="0070C0"/>
    </w:rPr>
  </w:style>
  <w:style w:type="character" w:styleId="ListLabel21">
    <w:name w:val="ListLabel 21"/>
    <w:qFormat/>
    <w:rPr>
      <w:rFonts w:ascii="Times New Roman" w:hAnsi="Times New Roman"/>
      <w:color w:val="0070C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ae33c4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66594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66594b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akl.edu54.ru/" TargetMode="External"/><Relationship Id="rId3" Type="http://schemas.openxmlformats.org/officeDocument/2006/relationships/hyperlink" Target="mailto:licey_kondratuka_nsk@mail.ru" TargetMode="External"/><Relationship Id="rId4" Type="http://schemas.openxmlformats.org/officeDocument/2006/relationships/chart" Target="charts/chart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sideWall>
      <c:spPr>
        <a:noFill/>
        <a:ln w="9360">
          <a:solidFill>
            <a:srgbClr val="878787"/>
          </a:solidFill>
          <a:round/>
        </a:ln>
      </c:spPr>
    </c:sideWall>
    <c:backWall>
      <c:spPr>
        <a:noFill/>
        <a:ln w="9360">
          <a:solidFill>
            <a:srgbClr val="878787"/>
          </a:solidFill>
          <a:round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85</c:v>
                </c:pt>
                <c:pt idx="1">
                  <c:v>105</c:v>
                </c:pt>
                <c:pt idx="2">
                  <c:v>160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Региональный</c:v>
                </c:pt>
              </c:strCache>
            </c:strRef>
          </c:tx>
          <c:spPr>
            <a:solidFill>
              <a:srgbClr val="fdeada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30</c:v>
                </c:pt>
                <c:pt idx="1">
                  <c:v>29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rgbClr val="9bbb59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36</c:v>
                </c:pt>
                <c:pt idx="1">
                  <c:v>68</c:v>
                </c:pt>
                <c:pt idx="2">
                  <c:v>22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rgbClr val="8064a2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3"/>
                <c:pt idx="0">
                  <c:v>15</c:v>
                </c:pt>
                <c:pt idx="1">
                  <c:v>17</c:v>
                </c:pt>
                <c:pt idx="2">
                  <c:v>17</c:v>
                </c:pt>
              </c:numCache>
            </c:numRef>
          </c:val>
        </c:ser>
        <c:gapWidth val="150"/>
        <c:shape val="cylinder"/>
        <c:axId val="87384822"/>
        <c:axId val="21524269"/>
        <c:axId val="0"/>
      </c:bar3DChart>
      <c:catAx>
        <c:axId val="87384822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Times New Roman"/>
              </a:defRPr>
            </a:pPr>
          </a:p>
        </c:txPr>
        <c:crossAx val="21524269"/>
        <c:crosses val="autoZero"/>
        <c:auto val="1"/>
        <c:lblAlgn val="ctr"/>
        <c:lblOffset val="100"/>
      </c:catAx>
      <c:valAx>
        <c:axId val="21524269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sz="1000" spc="-1" strike="noStrike">
                <a:solidFill>
                  <a:srgbClr val="000000"/>
                </a:solidFill>
                <a:latin typeface="Times New Roman"/>
              </a:defRPr>
            </a:pPr>
          </a:p>
        </c:txPr>
        <c:crossAx val="87384822"/>
        <c:crosses val="autoZero"/>
      </c:valAx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b="0" sz="1000" spc="-1" strike="noStrik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gradFill>
      <a:gsLst>
        <a:gs pos="0">
          <a:srgbClr val="9ab4e4"/>
        </a:gs>
        <a:gs pos="100000">
          <a:srgbClr val="e0e8f5"/>
        </a:gs>
      </a:gsLst>
      <a:path path="circle"/>
    </a:gradFill>
    <a:ln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LibreOffice/6.2.3.2$Windows_X86_64 LibreOffice_project/aecc05fe267cc68dde00352a451aa867b3b546ac</Application>
  <Pages>7</Pages>
  <Words>1628</Words>
  <Characters>11690</Characters>
  <CharactersWithSpaces>13253</CharactersWithSpaces>
  <Paragraphs>317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2019-12-12T08:37:00Z</dcterms:created>
  <dc:creator>Референт</dc:creator>
  <dc:description/>
  <dc:language>ru-RU</dc:language>
  <cp:lastModifiedBy/>
  <cp:lastPrinted>2019-12-16T05:30:00Z</cp:lastPrinted>
  <dcterms:modified xsi:type="dcterms:W3CDTF">2020-02-03T23:18:40Z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