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spacing w:lineRule="auto" w:line="360" w:before="0" w:after="240"/>
        <w:ind w:left="0" w:hanging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Заявка на участие во всероссийском конкурсе «Школы – лидеры качества образования» (Карта инновации)</w:t>
      </w:r>
    </w:p>
    <w:tbl>
      <w:tblPr>
        <w:tblW w:w="981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581"/>
        <w:gridCol w:w="7228"/>
      </w:tblGrid>
      <w:tr>
        <w:trPr/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/>
            </w:pPr>
            <w:r>
              <w:rPr/>
              <w:t>Полное наименование образовательной организации по уставу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/>
            </w:pPr>
            <w:r>
              <w:rPr/>
              <w:t>Муниципальное бюджетное общеобразовательное учреждение "Гимназия № 24"</w:t>
            </w:r>
          </w:p>
        </w:tc>
      </w:tr>
      <w:tr>
        <w:trPr/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/>
            </w:pPr>
            <w:r>
              <w:rPr/>
              <w:t>Фамилия, имя, отчество руководителя образовательной организации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/>
            </w:pPr>
            <w:r>
              <w:rPr/>
              <w:t>Липатов Петр Иванович</w:t>
            </w:r>
          </w:p>
        </w:tc>
      </w:tr>
      <w:tr>
        <w:trPr/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/>
            </w:pPr>
            <w:r>
              <w:rPr/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/>
            </w:pPr>
            <w:r>
              <w:rPr/>
              <w:t>652870 Кемеровская область,</w:t>
            </w:r>
          </w:p>
          <w:p>
            <w:pPr>
              <w:pStyle w:val="ListParagraph"/>
              <w:ind w:left="0" w:hanging="0"/>
              <w:rPr/>
            </w:pPr>
            <w:r>
              <w:rPr/>
              <w:t>город Междуреченск, улица Лазо, дом 33; тел/факс (38475) 2-72-49</w:t>
            </w:r>
          </w:p>
          <w:p>
            <w:pPr>
              <w:pStyle w:val="ListParagraph"/>
              <w:ind w:left="0" w:hanging="0"/>
              <w:rPr/>
            </w:pPr>
            <w:hyperlink r:id="rId2">
              <w:r>
                <w:rPr>
                  <w:rStyle w:val="Style14"/>
                </w:rPr>
                <w:t>gimnaz1974@yandex.ru</w:t>
              </w:r>
            </w:hyperlink>
          </w:p>
          <w:p>
            <w:pPr>
              <w:pStyle w:val="ListParagraph"/>
              <w:ind w:left="0" w:hanging="0"/>
              <w:rPr/>
            </w:pPr>
            <w:hyperlink r:id="rId3">
              <w:r>
                <w:rPr>
                  <w:rStyle w:val="Style14"/>
                </w:rPr>
                <w:t>http://gimnaz24.pokori.net</w:t>
              </w:r>
            </w:hyperlink>
            <w:r>
              <w:rPr/>
              <w:t xml:space="preserve"> </w:t>
            </w:r>
          </w:p>
          <w:p>
            <w:pPr>
              <w:pStyle w:val="ListParagraph"/>
              <w:ind w:left="0" w:hanging="0"/>
              <w:rPr/>
            </w:pPr>
            <w:r>
              <w:rPr/>
            </w:r>
          </w:p>
        </w:tc>
      </w:tr>
      <w:tr>
        <w:trPr>
          <w:trHeight w:val="495" w:hRule="atLeast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/>
            </w:pPr>
            <w:r>
              <w:rPr/>
              <w:t>Содержательное направление представленных на Конкурс материалов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/>
            </w:pPr>
            <w:r>
              <w:rPr/>
              <w:t>Образовательные технологии обеспечения качества образования в современной открытой образовательной среде</w:t>
            </w:r>
          </w:p>
        </w:tc>
      </w:tr>
      <w:tr>
        <w:trPr/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/>
            </w:pPr>
            <w:r>
              <w:rPr/>
              <w:t>Тема конкурсных материалов (тема инновации)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/>
            </w:pPr>
            <w:r>
              <w:rPr/>
              <w:t>Информационно-образовательная среда образовательной организации как условие повышения качества образования.</w:t>
            </w:r>
          </w:p>
        </w:tc>
      </w:tr>
      <w:tr>
        <w:trPr/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/>
            </w:pPr>
            <w:r>
              <w:rPr/>
              <w:t>Автор / авторский коллектив представленной на конкурс инновации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/>
            </w:pPr>
            <w:r>
              <w:rPr/>
              <w:t>Липатов Петр Иванович, директор МБОУ Гимназия № 24;</w:t>
            </w:r>
          </w:p>
          <w:p>
            <w:pPr>
              <w:pStyle w:val="ListParagraph"/>
              <w:ind w:left="0" w:hanging="0"/>
              <w:rPr/>
            </w:pPr>
            <w:r>
              <w:rPr/>
              <w:t>Фурсова Яна Сергеевна, заместитель директора по учебно-воспитательной работе</w:t>
            </w:r>
          </w:p>
        </w:tc>
      </w:tr>
      <w:tr>
        <w:trPr/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/>
            </w:pPr>
            <w:r>
              <w:rPr/>
              <w:t>Краткое описание инновации (цели,</w:t>
            </w:r>
          </w:p>
          <w:p>
            <w:pPr>
              <w:pStyle w:val="ListParagraph"/>
              <w:ind w:left="0" w:hanging="0"/>
              <w:rPr/>
            </w:pPr>
            <w:r>
              <w:rPr/>
              <w:t>задачи,</w:t>
            </w:r>
          </w:p>
          <w:p>
            <w:pPr>
              <w:pStyle w:val="ListParagraph"/>
              <w:ind w:left="0" w:hanging="0"/>
              <w:rPr/>
            </w:pPr>
            <w:r>
              <w:rPr/>
              <w:t>содержание работы, полученные результаты, эффекты)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firstLine="317"/>
              <w:jc w:val="both"/>
              <w:rPr/>
            </w:pPr>
            <w:r>
              <w:rPr>
                <w:b/>
              </w:rPr>
              <w:t>Цель</w:t>
            </w:r>
            <w:r>
              <w:rPr/>
              <w:t xml:space="preserve"> – повышение качества образовательных результатов обучающихся за счет расширения возможностей и доступности информационно-образовательной среды образовательной организации.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317"/>
              <w:jc w:val="both"/>
              <w:textAlignment w:val="baseline"/>
              <w:rPr>
                <w:sz w:val="23"/>
                <w:szCs w:val="23"/>
              </w:rPr>
            </w:pPr>
            <w:r>
              <w:rPr/>
              <w:t xml:space="preserve">Информационно-образовательная среда гимназии выполняет информационную, образовательную и коммуникационную функции.  </w:t>
            </w:r>
            <w:r>
              <w:rPr>
                <w:rFonts w:ascii="inherit" w:hAnsi="inherit"/>
                <w:sz w:val="23"/>
                <w:szCs w:val="23"/>
              </w:rPr>
              <w:t>Использование ИКТ-инструментов, цифровых технологий носит системный характер, удовлетворяет требованиям ФГОС к формированию условий реализации основной образовательной программы начального общего, основного общего и среднего общего образования, способствует достижению обучающимися планируемых личностных, метапредметных, предметных результатов обучения.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ind w:firstLine="317"/>
              <w:jc w:val="both"/>
              <w:textAlignment w:val="baseline"/>
              <w:rPr>
                <w:sz w:val="23"/>
                <w:szCs w:val="23"/>
              </w:rPr>
            </w:pPr>
            <w:r>
              <w:rPr>
                <w:rFonts w:ascii="inherit" w:hAnsi="inherit"/>
                <w:sz w:val="23"/>
                <w:szCs w:val="23"/>
              </w:rPr>
              <w:t>Информационно-образовательная среда  образовательной организации – это единое пространство коммуникации для всех участников образовательных отношений, инструмент управления качеством реализации образовательных программ, деятельностью педагогического коллектива. Это система эффективного и комфортного предоставления информационных и коммуникационных услуг, цифровых инструментов.</w:t>
            </w:r>
          </w:p>
          <w:p>
            <w:pPr>
              <w:pStyle w:val="ListParagraph"/>
              <w:ind w:left="0" w:firstLine="317"/>
              <w:jc w:val="both"/>
              <w:rPr>
                <w:color w:val="C0504D" w:themeColor="accent2"/>
              </w:rPr>
            </w:pPr>
            <w:r>
              <w:rPr/>
              <w:t xml:space="preserve">ИОС гимназии представляет собой сеть разработанных сайтов: сайт персональных страниц педагогов, сайт с дистанционными курсами для обучающихся (в том числе, с ОВЗ), Виртуальный дистанционный методический кабинет, сайт исследовательской деятельности «Терра экспериментариус».  </w:t>
            </w:r>
          </w:p>
          <w:p>
            <w:pPr>
              <w:pStyle w:val="ListParagraph"/>
              <w:ind w:left="0" w:firstLine="317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ListParagraph"/>
              <w:ind w:left="0" w:firstLine="317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ListParagraph"/>
              <w:ind w:left="0" w:firstLine="317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ListParagraph"/>
              <w:spacing w:lineRule="auto" w:line="235"/>
              <w:ind w:left="0" w:firstLine="317"/>
              <w:rPr>
                <w:b/>
                <w:b/>
              </w:rPr>
            </w:pPr>
            <w:r>
              <w:rPr>
                <w:b/>
              </w:rPr>
              <w:t>Задачи: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35"/>
              <w:ind w:left="62" w:firstLine="142"/>
              <w:jc w:val="both"/>
              <w:rPr>
                <w:bCs/>
              </w:rPr>
            </w:pPr>
            <w:r>
              <w:rPr>
                <w:bCs/>
              </w:rPr>
              <w:t>Расширить вариативность использования ИКТ и цифровых технологий при организации информационно-образовательной среды образовательной организации.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35"/>
              <w:ind w:left="62" w:firstLine="142"/>
              <w:jc w:val="both"/>
              <w:rPr>
                <w:bCs/>
              </w:rPr>
            </w:pPr>
            <w:r>
              <w:rPr>
                <w:bCs/>
              </w:rPr>
              <w:t>Обучить педагогов разработке и вариативному использованию информационно-коммуникационных и цифровых технологий в организации урочной и внеурочной деятельности.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35"/>
              <w:ind w:left="62" w:firstLine="142"/>
              <w:jc w:val="both"/>
              <w:rPr>
                <w:bCs/>
              </w:rPr>
            </w:pPr>
            <w:r>
              <w:rPr>
                <w:bCs/>
              </w:rPr>
              <w:t>Расширить возможности социального партнерства по реализации ИКТ и созданию электронных образовательных ресурсов.</w:t>
            </w:r>
          </w:p>
          <w:p>
            <w:pPr>
              <w:pStyle w:val="Normal"/>
              <w:spacing w:lineRule="auto" w:line="235"/>
              <w:ind w:firstLine="567"/>
              <w:jc w:val="both"/>
              <w:rPr/>
            </w:pPr>
            <w:r>
              <w:rPr/>
              <w:t>Педагоги гимназии реализуют ИКТ, ресурсы ИОС в урочной деятельности:</w:t>
            </w:r>
          </w:p>
          <w:p>
            <w:pPr>
              <w:pStyle w:val="NoSpacing"/>
              <w:spacing w:lineRule="auto" w:line="235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частичная замена деятельности учителя электронными образовательными ресурсами (по отдельным темам, вопросам предмета) состоит в использовании учителем своего сценария изучения учебного материала с применением фрагментов имеющегося программного обеспечения, ЦОРов, ЭОРов по предмету, в том числе, ресурсами сайта </w:t>
            </w:r>
            <w:r>
              <w:rPr>
                <w:rFonts w:ascii="Times New Roman" w:hAnsi="Times New Roman"/>
                <w:sz w:val="24"/>
                <w:szCs w:val="24"/>
              </w:rPr>
              <w:t>«Дистанционные курсы»</w:t>
            </w:r>
            <w:r>
              <w:rPr>
                <w:sz w:val="24"/>
                <w:szCs w:val="24"/>
              </w:rPr>
              <w:t xml:space="preserve"> (</w:t>
            </w:r>
            <w:hyperlink r:id="rId4">
              <w:r>
                <w:rPr>
                  <w:rStyle w:val="Style14"/>
                  <w:rFonts w:eastAsia="Times New Roman" w:ascii="Times New Roman" w:hAnsi="Times New Roman"/>
                  <w:sz w:val="24"/>
                  <w:szCs w:val="24"/>
                  <w:lang w:eastAsia="ru-RU"/>
                </w:rPr>
                <w:t>http://moodle.pokori.net/</w:t>
              </w:r>
            </w:hyperlink>
            <w:r>
              <w:rPr>
                <w:rStyle w:val="Style14"/>
                <w:rFonts w:eastAsia="Times New Roman" w:ascii="Times New Roman" w:hAnsi="Times New Roman"/>
                <w:sz w:val="24"/>
                <w:szCs w:val="24"/>
                <w:lang w:eastAsia="ru-RU"/>
              </w:rPr>
              <w:t>).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Учитель выполняет управляющие воздействия по отношению к обучающимся, отбирает учебные задачи, контролирует ход их решения и определяет характер и меру помощи;</w:t>
            </w:r>
          </w:p>
          <w:p>
            <w:pPr>
              <w:pStyle w:val="NoSpacing"/>
              <w:spacing w:lineRule="auto" w:line="23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фрагментарное, выборочное использование дополнительного материала, аудио-, видео- наглядности из электронных хрестоматий, энциклопедий, музеев, контролирующих и других дополнительных материалов предметного учебно-методического комплекта;</w:t>
            </w:r>
          </w:p>
          <w:p>
            <w:pPr>
              <w:pStyle w:val="NoSpacing"/>
              <w:spacing w:lineRule="auto" w:line="235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использование диагностических и контролирующих материалов, имеющихся на электронном носителе или разработанных учителем рамках электронного сопровождения учебных предметов через </w:t>
            </w:r>
            <w:r>
              <w:rPr>
                <w:rFonts w:ascii="Times New Roman" w:hAnsi="Times New Roman"/>
                <w:sz w:val="24"/>
                <w:szCs w:val="24"/>
              </w:rPr>
              <w:t>сайт «Дистанционные курсы»</w:t>
            </w:r>
            <w:r>
              <w:rPr>
                <w:sz w:val="24"/>
                <w:szCs w:val="24"/>
              </w:rPr>
              <w:t xml:space="preserve"> (</w:t>
            </w:r>
            <w:hyperlink r:id="rId5">
              <w:r>
                <w:rPr>
                  <w:rStyle w:val="Style14"/>
                  <w:rFonts w:eastAsia="Times New Roman" w:ascii="Times New Roman" w:hAnsi="Times New Roman"/>
                  <w:sz w:val="24"/>
                  <w:szCs w:val="24"/>
                  <w:lang w:eastAsia="ru-RU"/>
                </w:rPr>
                <w:t>http://moodle.pokori.net/</w:t>
              </w:r>
            </w:hyperlink>
            <w:r>
              <w:rPr>
                <w:rStyle w:val="Style14"/>
                <w:rFonts w:eastAsia="Times New Roman"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>
            <w:pPr>
              <w:pStyle w:val="NoSpacing"/>
              <w:spacing w:lineRule="auto" w:line="23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использование программ, имитирующих опыты и лабораторные работы;</w:t>
            </w:r>
          </w:p>
          <w:p>
            <w:pPr>
              <w:pStyle w:val="NoSpacing"/>
              <w:spacing w:lineRule="auto" w:line="23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использование игровых и занимательных программ для закрепления материала, мотивации, психологической разрядки.</w:t>
            </w:r>
          </w:p>
          <w:p>
            <w:pPr>
              <w:pStyle w:val="Normal"/>
              <w:spacing w:lineRule="auto" w:line="235"/>
              <w:ind w:firstLine="567"/>
              <w:jc w:val="both"/>
              <w:rPr/>
            </w:pPr>
            <w:r>
              <w:rPr/>
              <w:t>Использование ИКТ и ресурсов ИОС во внеурочной деятельности (проектной, исследовательской):</w:t>
            </w:r>
          </w:p>
          <w:p>
            <w:pPr>
              <w:pStyle w:val="NoSpacing"/>
              <w:spacing w:lineRule="auto" w:line="23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полная замена деятельности учителя через использование компьютерных программных средств, электронных учебных пособий по предметам (электронные книги, диски), подключение к видеолекции, вебинару, через выполнение заданий на дистанционном курсе, разработанном учителем;</w:t>
            </w:r>
          </w:p>
          <w:p>
            <w:pPr>
              <w:pStyle w:val="NoSpacing"/>
              <w:spacing w:lineRule="auto" w:line="23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выполнение самостоятельных и творческих заданий обучающимися с использованием компьютерных программ (например, Power Point) с последу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ющей их демонстрацией в образовательной деятельности;</w:t>
            </w:r>
          </w:p>
          <w:p>
            <w:pPr>
              <w:pStyle w:val="NoSpacing"/>
              <w:spacing w:lineRule="auto" w:line="235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проведение дистанционных конкурсов исследовательских работ через сайт </w:t>
            </w: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«Терра Экспериментариус» (</w:t>
            </w:r>
            <w:hyperlink r:id="rId6">
              <w:r>
                <w:rPr>
                  <w:rStyle w:val="Style14"/>
                  <w:rFonts w:eastAsia="Times New Roman" w:ascii="Times New Roman" w:hAnsi="Times New Roman"/>
                  <w:sz w:val="24"/>
                  <w:szCs w:val="24"/>
                  <w:lang w:eastAsia="ru-RU"/>
                </w:rPr>
                <w:t>http://terra.pokori.net/</w:t>
              </w:r>
            </w:hyperlink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);</w:t>
            </w:r>
          </w:p>
          <w:p>
            <w:pPr>
              <w:pStyle w:val="NoSpacing"/>
              <w:spacing w:lineRule="auto" w:line="235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- выполнение сетевых проектов и др.</w:t>
            </w:r>
          </w:p>
          <w:p>
            <w:pPr>
              <w:pStyle w:val="NoSpacing"/>
              <w:spacing w:lineRule="auto" w:line="235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период ограничительных мероприятий (во время морозов или карантина) образовательная деятельность в гимназии не приостанавливается, а лишь изменяется форма ее организации: образовательная деятельность осуществляется с использованием платформ SmartBridget и BigBlueButten. Эти технологии позволяют организовать дистанционное обучение в режиме реального времени с применением «виртуальных» досок для 100 человек в параллели.</w:t>
            </w:r>
          </w:p>
          <w:p>
            <w:pPr>
              <w:pStyle w:val="Normal"/>
              <w:ind w:firstLine="567"/>
              <w:jc w:val="both"/>
              <w:rPr/>
            </w:pPr>
            <w:r>
              <w:rPr/>
              <w:t>Ресурсы: «Дистанционные курсы МБОУ Гимназия №24» (http://moodle.pokori.net/), официальный сайт гимназии (http://gimnaz24.pokori.net/), http://dot.pokori.net/, «Городская исследовательская площадка «Терра Экспериментариус» (http://terra.pokori/) позволяют реализовать  инклюзию в гимназии.</w:t>
            </w:r>
          </w:p>
          <w:p>
            <w:pPr>
              <w:pStyle w:val="NoSpacing"/>
              <w:ind w:firstLine="567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методической деятельности гимназии реализуется новая форма работы с педагогическим коллективом – виртуальный дистанционный методический кабинет МБОУ Гимназия № по адресу: </w:t>
            </w:r>
            <w:hyperlink r:id="rId7">
              <w:r>
                <w:rPr>
                  <w:rStyle w:val="Style14"/>
                  <w:rFonts w:ascii="Times New Roman" w:hAnsi="Times New Roman"/>
                  <w:sz w:val="24"/>
                  <w:szCs w:val="24"/>
                </w:rPr>
                <w:t>http://edo.pokori.net/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, который является интерактивным информационным ресурсом методической деятельности гимназии. Взаимодействие педагогов и администрации гимназии осуществляется в том числе через Виртуальный методкабинет, в котором размещена документация методических объединений гимназии, творческих групп: планы, протоколы заседаний, анализы деятельности, папки достижений педагогов, публикации, методические разработки и др.</w:t>
            </w:r>
          </w:p>
          <w:p>
            <w:pPr>
              <w:pStyle w:val="NoSpacing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школа 2.0. (ЭЖ), сайт гимназии так же позволяют активизировать взаимодействие с участниками образовательных отношений.</w:t>
            </w:r>
          </w:p>
          <w:p>
            <w:pPr>
              <w:pStyle w:val="NoSpacing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Созданная ИОС активно используется в управленческой деятельности гимназии.</w:t>
            </w:r>
          </w:p>
          <w:p>
            <w:pPr>
              <w:pStyle w:val="NoSpacing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гимназии разработан электронный мониторинг внутренней системы оценки качества гимназии в формате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>
              <w:rPr>
                <w:rFonts w:ascii="Times New Roman" w:hAnsi="Times New Roman"/>
                <w:sz w:val="24"/>
                <w:szCs w:val="24"/>
              </w:rPr>
              <w:t>-документа с доступом в "электронном облаке" всех ответственных по направлениям, в соответствии с критериями и показателями.</w:t>
            </w:r>
          </w:p>
          <w:p>
            <w:pPr>
              <w:pStyle w:val="NoSpacing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Одним из управленческих направлений в работе гимназии является планирование ее работы. Использование собственного сервера и сервиса Google-диск позволяет одномоментно в Интернете работать с электронным документом нескольким ответственным сотрудникам. Процедура планирования стала оперативной и с наименьшими затратами, уменьшилось число опечаток, ошибок.</w:t>
            </w:r>
          </w:p>
          <w:p>
            <w:pPr>
              <w:pStyle w:val="NoSpacing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Используются в деятельности возможности Google-календаря для администрации, педагогов и школьников. Данный ресурс позволяет создавать план работы на каждый месяц и напоминание о предстоящих мероприятиях в виде оповещения направляется на электронную почту адресата (и мобильный телефон). Данная форма удобна тем, что обеспечивает «память» для подготовки отсроченных отчетов. </w:t>
            </w:r>
          </w:p>
          <w:p>
            <w:pPr>
              <w:pStyle w:val="NoSpacing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ИОС осуществляется ознакомление, рассылка информации на электронные адреса всех работников гимназии.</w:t>
            </w:r>
          </w:p>
          <w:p>
            <w:pPr>
              <w:pStyle w:val="NoSpacing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гимназии разработана база автоматической обработки данных стимулирующей части фонда оплаты труда работников. Созданы и реализуются электронные мониторинги оплаты хозяйственных услуг, связи и прочих постоянных выплат. </w:t>
            </w:r>
          </w:p>
          <w:p>
            <w:pPr>
              <w:pStyle w:val="NoSpacing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Благодаря возможностям созданной ИОС гимназии, владению педагогами информационно-коммуникационными технологиями осуществляется дистанционное обучение детей, длительно отсутствующих по уважительной причине (болезнь, спортивные сборы и др.), детей с ограниченными возможностями здоровья, ведется поддержка одаренных детей.</w:t>
            </w:r>
          </w:p>
          <w:p>
            <w:pPr>
              <w:pStyle w:val="ListParagraph"/>
              <w:ind w:left="0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ListParagraph"/>
              <w:ind w:left="0" w:firstLine="459"/>
              <w:rPr>
                <w:b/>
                <w:b/>
              </w:rPr>
            </w:pPr>
            <w:r>
              <w:rPr>
                <w:b/>
              </w:rPr>
              <w:t>Основные результаты:</w:t>
            </w:r>
          </w:p>
          <w:p>
            <w:pPr>
              <w:pStyle w:val="Normal"/>
              <w:numPr>
                <w:ilvl w:val="0"/>
                <w:numId w:val="2"/>
              </w:numPr>
              <w:ind w:left="34" w:firstLine="165"/>
              <w:jc w:val="both"/>
              <w:rPr>
                <w:bCs/>
              </w:rPr>
            </w:pPr>
            <w:r>
              <w:rPr>
                <w:bCs/>
              </w:rPr>
              <w:t xml:space="preserve">Мониторинговыми исследованиями (внутренними и независимыми) выявлены следующие результаты качества образования обучающихся гимназии за период с 2016 по 2019 год: </w:t>
            </w:r>
          </w:p>
          <w:p>
            <w:pPr>
              <w:pStyle w:val="Normal"/>
              <w:ind w:left="318" w:hanging="283"/>
              <w:jc w:val="both"/>
              <w:rPr>
                <w:bCs/>
              </w:rPr>
            </w:pPr>
            <w:r>
              <w:rPr>
                <w:bCs/>
              </w:rPr>
              <w:t xml:space="preserve">- абсолютная и качественная успеваемость обучающихся стабильны; </w:t>
            </w:r>
          </w:p>
          <w:p>
            <w:pPr>
              <w:pStyle w:val="Normal"/>
              <w:ind w:left="318" w:hanging="283"/>
              <w:jc w:val="both"/>
              <w:rPr>
                <w:bCs/>
              </w:rPr>
            </w:pPr>
            <w:r>
              <w:rPr>
                <w:bCs/>
              </w:rPr>
              <w:t xml:space="preserve">- рост показателей прохождения государственной итоговой аттестации; </w:t>
            </w:r>
          </w:p>
          <w:p>
            <w:pPr>
              <w:pStyle w:val="Normal"/>
              <w:ind w:left="318" w:hanging="283"/>
              <w:jc w:val="both"/>
              <w:rPr>
                <w:bCs/>
              </w:rPr>
            </w:pPr>
            <w:r>
              <w:rPr>
                <w:bCs/>
              </w:rPr>
              <w:t>-  положительная динамика результативности участия в муниципальном этапе Всероссийской олимпиады школьников;</w:t>
            </w:r>
          </w:p>
          <w:p>
            <w:pPr>
              <w:pStyle w:val="Normal"/>
              <w:ind w:left="318" w:hanging="283"/>
              <w:jc w:val="both"/>
              <w:rPr>
                <w:bCs/>
              </w:rPr>
            </w:pPr>
            <w:r>
              <w:rPr>
                <w:bCs/>
              </w:rPr>
              <w:t>- положительная динамика активности и результативности участия в научно-исследовательской деятельности обучающихся и в конкурсном движении;</w:t>
            </w:r>
          </w:p>
          <w:p>
            <w:pPr>
              <w:pStyle w:val="Normal"/>
              <w:ind w:left="318" w:hanging="283"/>
              <w:jc w:val="both"/>
              <w:rPr>
                <w:bCs/>
              </w:rPr>
            </w:pPr>
            <w:r>
              <w:rPr>
                <w:bCs/>
              </w:rPr>
              <w:t>- обучающиеся с ОВЗ успешно осваивают образовательные программы, сдают ГВЭ и получают аттестат об основном общем образовании.</w:t>
            </w:r>
          </w:p>
          <w:p>
            <w:pPr>
              <w:pStyle w:val="Normal"/>
              <w:numPr>
                <w:ilvl w:val="0"/>
                <w:numId w:val="2"/>
              </w:numPr>
              <w:ind w:left="62" w:firstLine="142"/>
              <w:jc w:val="both"/>
              <w:rPr>
                <w:bCs/>
              </w:rPr>
            </w:pPr>
            <w:r>
              <w:rPr>
                <w:bCs/>
              </w:rPr>
              <w:t>Внедрение ИОС способствовало росту профессиональной активности и мастерства педагогов за период с 2016 по 2019 год:</w:t>
            </w:r>
          </w:p>
          <w:p>
            <w:pPr>
              <w:pStyle w:val="Normal"/>
              <w:ind w:left="204" w:hanging="0"/>
              <w:jc w:val="both"/>
              <w:rPr>
                <w:bCs/>
              </w:rPr>
            </w:pPr>
            <w:r>
              <w:rPr>
                <w:bCs/>
              </w:rPr>
              <w:t>- положительная динамика участия и результативности в конкурсном движении, в мероприятиях с использованием ИКТ;</w:t>
            </w:r>
          </w:p>
          <w:p>
            <w:pPr>
              <w:pStyle w:val="Normal"/>
              <w:ind w:left="204" w:hanging="0"/>
              <w:jc w:val="both"/>
              <w:rPr>
                <w:bCs/>
              </w:rPr>
            </w:pPr>
            <w:r>
              <w:rPr>
                <w:bCs/>
              </w:rPr>
              <w:t>- активизация диссеминации эффективного опыта профессиональной деятельности;</w:t>
            </w:r>
          </w:p>
          <w:p>
            <w:pPr>
              <w:pStyle w:val="Normal"/>
              <w:ind w:left="204" w:hanging="0"/>
              <w:jc w:val="both"/>
              <w:rPr>
                <w:bCs/>
              </w:rPr>
            </w:pPr>
            <w:r>
              <w:rPr>
                <w:bCs/>
              </w:rPr>
              <w:t>- стабильно  успешное прохождение педагогами аттестации на присвоение квалификационной категории;</w:t>
            </w:r>
          </w:p>
          <w:p>
            <w:pPr>
              <w:pStyle w:val="Normal"/>
              <w:ind w:left="204" w:hanging="0"/>
              <w:jc w:val="both"/>
              <w:rPr>
                <w:bCs/>
              </w:rPr>
            </w:pPr>
            <w:r>
              <w:rPr>
                <w:bCs/>
              </w:rPr>
              <w:t>- наработанный педагогическим коллективом материал является востребованным в педагогической среде и вызывает интерес сторонних участников.</w:t>
            </w:r>
          </w:p>
          <w:p>
            <w:pPr>
              <w:pStyle w:val="Normal"/>
              <w:numPr>
                <w:ilvl w:val="0"/>
                <w:numId w:val="2"/>
              </w:numPr>
              <w:ind w:left="62" w:firstLine="142"/>
              <w:jc w:val="both"/>
              <w:rPr>
                <w:bCs/>
              </w:rPr>
            </w:pPr>
            <w:r>
              <w:rPr>
                <w:bCs/>
              </w:rPr>
              <w:t>Выявлена положительная динамика активности педагогов по формированию банка ЭОР и их использования в образовательной деятельности.</w:t>
            </w:r>
          </w:p>
          <w:p>
            <w:pPr>
              <w:pStyle w:val="Normal"/>
              <w:numPr>
                <w:ilvl w:val="0"/>
                <w:numId w:val="2"/>
              </w:numPr>
              <w:ind w:left="62" w:firstLine="142"/>
              <w:jc w:val="both"/>
              <w:rPr>
                <w:bCs/>
              </w:rPr>
            </w:pPr>
            <w:r>
              <w:rPr>
                <w:bCs/>
              </w:rPr>
              <w:t>Повышение активности использования цифровых технологий и ресурсов ИОС в образовательной деятельности всеми участниками образовательных отношений.</w:t>
            </w:r>
          </w:p>
          <w:p>
            <w:pPr>
              <w:pStyle w:val="Normal"/>
              <w:ind w:firstLine="346"/>
              <w:jc w:val="both"/>
              <w:rPr>
                <w:b/>
                <w:b/>
              </w:rPr>
            </w:pPr>
            <w:r>
              <w:rPr>
                <w:b/>
              </w:rPr>
              <w:t>Эффекты инноваций:</w:t>
            </w:r>
          </w:p>
          <w:p>
            <w:pPr>
              <w:pStyle w:val="ListParagraph"/>
              <w:ind w:left="204" w:hanging="0"/>
              <w:jc w:val="both"/>
              <w:rPr/>
            </w:pPr>
            <w:r>
              <w:rPr/>
              <w:t>1.</w:t>
              <w:tab/>
              <w:t>Повышение профессиональной компетентности педагогов, в том числе в области овладения инновационными образовательными, метапредметными технологиями до 50% к 2019 году.</w:t>
            </w:r>
          </w:p>
          <w:p>
            <w:pPr>
              <w:pStyle w:val="ListParagraph"/>
              <w:ind w:left="204" w:hanging="0"/>
              <w:jc w:val="both"/>
              <w:rPr/>
            </w:pPr>
            <w:r>
              <w:rPr/>
              <w:t>2.</w:t>
              <w:tab/>
              <w:t>Разработка и реализация инновационных проектов (уровней города, региона).</w:t>
            </w:r>
          </w:p>
          <w:p>
            <w:pPr>
              <w:pStyle w:val="ListParagraph"/>
              <w:ind w:left="204" w:hanging="0"/>
              <w:jc w:val="both"/>
              <w:rPr/>
            </w:pPr>
            <w:r>
              <w:rPr/>
              <w:t>3.</w:t>
              <w:tab/>
              <w:t>Расширилось сетевое взаимодействие с научными, образовательными и культурными учреждениями.</w:t>
            </w:r>
          </w:p>
          <w:p>
            <w:pPr>
              <w:pStyle w:val="ListParagraph"/>
              <w:ind w:left="204" w:hanging="0"/>
              <w:jc w:val="both"/>
              <w:rPr/>
            </w:pPr>
            <w:r>
              <w:rPr/>
              <w:t>4.</w:t>
              <w:tab/>
              <w:t>Рост привлеченных средств в соответствии с расширением образовательных услуг и партнерских отношений гимназии.</w:t>
            </w:r>
          </w:p>
        </w:tc>
      </w:tr>
      <w:tr>
        <w:trPr/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/>
            </w:pPr>
            <w:r>
              <w:rPr/>
              <w:t>Сведения о распространении инновационного опыта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ind w:firstLine="459"/>
              <w:jc w:val="both"/>
              <w:rPr/>
            </w:pPr>
            <w:r>
              <w:rPr/>
              <w:t>Выступление педагогов с докладами на XII Международной научной конференции студентов и молодых ученых «Образование, наука, инновации: вклад молодых исследователей» (Симпозиум «Развитие личности в современном образовательном пространстве: подходы и технологии») (г. Новокузнецк, 2018).</w:t>
            </w:r>
          </w:p>
          <w:p>
            <w:pPr>
              <w:pStyle w:val="Normal"/>
              <w:ind w:firstLine="459"/>
              <w:jc w:val="both"/>
              <w:rPr/>
            </w:pPr>
            <w:r>
              <w:rPr/>
              <w:t>Опубликованы статьи в сборниках по итогам Всероссийских научно-практических конференций «Научно-методическое сопровождение реализации ФГОС: опыт, проблемы, пути их преодоления» (г. Кемерово, 2017, 2018, 2019 года).</w:t>
            </w:r>
          </w:p>
          <w:p>
            <w:pPr>
              <w:pStyle w:val="Normal"/>
              <w:ind w:firstLine="459"/>
              <w:jc w:val="both"/>
              <w:rPr/>
            </w:pPr>
            <w:r>
              <w:rPr/>
              <w:t>Представление опыта инновационной деятельности МБОУ Гимназия №24 на круглом столе в г. Санкт-Петербурге «Организация сетевого взаимодействия с партнерами для реализации социально значимых проектов».</w:t>
            </w:r>
          </w:p>
          <w:p>
            <w:pPr>
              <w:pStyle w:val="Normal"/>
              <w:ind w:firstLine="459"/>
              <w:jc w:val="both"/>
              <w:rPr/>
            </w:pPr>
            <w:r>
              <w:rPr/>
              <w:t>Участие во Всероссийских конференциях:</w:t>
            </w:r>
          </w:p>
          <w:p>
            <w:pPr>
              <w:pStyle w:val="ListParagraph"/>
              <w:ind w:left="204" w:hanging="0"/>
              <w:jc w:val="both"/>
              <w:rPr/>
            </w:pPr>
            <w:r>
              <w:rPr/>
              <w:t xml:space="preserve">- «Современная начальная школа: достижения, проблемы, перспективы» в г. Москве; </w:t>
            </w:r>
          </w:p>
          <w:p>
            <w:pPr>
              <w:pStyle w:val="ListParagraph"/>
              <w:ind w:left="204" w:hanging="0"/>
              <w:jc w:val="both"/>
              <w:rPr/>
            </w:pPr>
            <w:r>
              <w:rPr/>
              <w:t>- «Научно-методическое сопровождение реализации ФГОС: опыт, проблемы, пути их преодоления» в г. Кемерове.</w:t>
            </w:r>
          </w:p>
          <w:p>
            <w:pPr>
              <w:pStyle w:val="Normal"/>
              <w:ind w:firstLine="459"/>
              <w:jc w:val="both"/>
              <w:rPr/>
            </w:pPr>
            <w:r>
              <w:rPr/>
              <w:t>Материалы инновационной деятельности гимназия представляла на различных выставках системы образования:</w:t>
            </w:r>
          </w:p>
          <w:p>
            <w:pPr>
              <w:pStyle w:val="ListParagraph"/>
              <w:ind w:left="204" w:hanging="0"/>
              <w:jc w:val="both"/>
              <w:rPr/>
            </w:pPr>
            <w:r>
              <w:rPr/>
              <w:t>-</w:t>
              <w:tab/>
              <w:t>специализированных выставках-ярмарках «Образование. Карьера» (г. Новокузнецк, 2017, 2018 года);</w:t>
            </w:r>
          </w:p>
          <w:p>
            <w:pPr>
              <w:pStyle w:val="ListParagraph"/>
              <w:ind w:left="204" w:hanging="0"/>
              <w:jc w:val="both"/>
              <w:rPr/>
            </w:pPr>
            <w:r>
              <w:rPr/>
              <w:t>-</w:t>
              <w:tab/>
              <w:t>Интернет-выставка «Российское образование: лучшие практики и инициативы», номинация «Информатизация образования» (http://expo.kuz-edu.ru/выставки.html/» в направлении «Информатизация образования» (2017 года);</w:t>
            </w:r>
          </w:p>
          <w:p>
            <w:pPr>
              <w:pStyle w:val="ListParagraph"/>
              <w:ind w:left="204" w:hanging="0"/>
              <w:jc w:val="both"/>
              <w:rPr/>
            </w:pPr>
            <w:r>
              <w:rPr/>
              <w:t>- Всероссийская научно-практическая конференция «Информационно-коммуникационные технологии в образовательном процессе: от настоящего к будущему» (2018 год); -</w:t>
              <w:tab/>
              <w:t>Международная выставка-ярмарка «Кузбасский образовательный форум» (г. Кемерово, 2019 года).</w:t>
            </w:r>
          </w:p>
        </w:tc>
      </w:tr>
      <w:tr>
        <w:trPr/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/>
            </w:pPr>
            <w:r>
              <w:rPr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firstLine="459"/>
              <w:jc w:val="both"/>
              <w:rPr/>
            </w:pPr>
            <w:r>
              <w:rPr/>
              <w:t>Педагогический коллектив успешно проходит процедуру аттестации на присвоение квалификационной категории, ежегодно квалификационная картина улучшается: в 2016 – 2017 учебном году 93% педагогов с квалификационными категориями, в 2017– 2018  - 94,3%, в 2018 – 2019 учебном году – 96,1% педагогов имеют квалификационные категории, из которых с высшей квалификационной категорией – 71% .</w:t>
            </w:r>
          </w:p>
          <w:p>
            <w:pPr>
              <w:pStyle w:val="ListParagraph"/>
              <w:ind w:left="0" w:firstLine="459"/>
              <w:jc w:val="both"/>
              <w:rPr/>
            </w:pPr>
            <w:r>
              <w:rPr/>
              <w:t xml:space="preserve">В гимназии в системе осуществляется методическое сопровождение педагогов по развитию информационно-коммуникационных компетенций  через систему мероприятий.  </w:t>
            </w:r>
          </w:p>
          <w:p>
            <w:pPr>
              <w:pStyle w:val="ListParagraph"/>
              <w:ind w:left="0" w:firstLine="459"/>
              <w:jc w:val="both"/>
              <w:rPr/>
            </w:pPr>
            <w:r>
              <w:rPr/>
              <w:t>Сегодня более 90% педагогов гимназии активно используют информационно-коммуникационные технологии и цифровое оборудование в урочной и внеурочной деятельности. Создают электронные образовательные ресурсы, электронное календарное планирование. Презентуют свои наработки и находки на различных конкурсах и выставках. Коллектив получил признание и является:</w:t>
            </w:r>
          </w:p>
          <w:p>
            <w:pPr>
              <w:pStyle w:val="NoSpacing"/>
              <w:ind w:firstLine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победителем федерального конкурса инновационных площадок «Путь к успеху» (2016 год);</w:t>
            </w:r>
          </w:p>
          <w:p>
            <w:pPr>
              <w:pStyle w:val="NoSpacing"/>
              <w:ind w:firstLine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дипломантом регионального конкурса «Лучший экспонат» в рамках выставки «Кузбасский образовательный форум» «Образование. Карьера» (2017 год);</w:t>
            </w:r>
          </w:p>
          <w:p>
            <w:pPr>
              <w:pStyle w:val="NoSpacing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  <w:tab/>
              <w:t>абсолютным победителем Интернет-выставки «Российское образование: лучшие практики и инициативы» (2017 год);</w:t>
            </w:r>
          </w:p>
          <w:p>
            <w:pPr>
              <w:pStyle w:val="NoSpacing"/>
              <w:ind w:firstLine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дипломантом регионального конкурса «Лучший экспонат» в рамках выставки «Кузбасская Ярмарка» «Образование. Карьера» (2018 год);</w:t>
            </w:r>
          </w:p>
          <w:p>
            <w:pPr>
              <w:pStyle w:val="Normal"/>
              <w:ind w:firstLine="709"/>
              <w:jc w:val="both"/>
              <w:rPr/>
            </w:pPr>
            <w:r>
              <w:rPr/>
              <w:t>- призером и победителем областных конкурсов «Инновации в образовании» (2017, 2019  года);</w:t>
            </w:r>
          </w:p>
          <w:p>
            <w:pPr>
              <w:pStyle w:val="Normal"/>
              <w:ind w:firstLine="709"/>
              <w:jc w:val="both"/>
              <w:rPr/>
            </w:pPr>
            <w:r>
              <w:rPr/>
              <w:t>- победитель  конкурса «Лучший экспонат» в рамках специализированной выставки-ярмарки «Кузбасский образовательный форум» (2019 год);</w:t>
            </w:r>
          </w:p>
          <w:p>
            <w:pPr>
              <w:pStyle w:val="NoSpacing"/>
              <w:ind w:firstLine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дважды лауреатом Всероссийского конкурса </w:t>
            </w:r>
            <w:r>
              <w:rPr/>
              <w:t>«</w:t>
            </w:r>
            <w:r>
              <w:rPr>
                <w:rFonts w:ascii="Times New Roman" w:hAnsi="Times New Roman"/>
                <w:sz w:val="24"/>
              </w:rPr>
              <w:t>Образовательная организация XXI века. Лига лидеров</w:t>
            </w:r>
            <w:r>
              <w:rPr/>
              <w:t xml:space="preserve">» </w:t>
            </w:r>
            <w:r>
              <w:rPr>
                <w:rFonts w:ascii="Times New Roman" w:hAnsi="Times New Roman"/>
                <w:sz w:val="24"/>
              </w:rPr>
              <w:t xml:space="preserve">в рамках ежегодной Невской Образовательной Ассамблеи в номинации </w:t>
            </w:r>
            <w:r>
              <w:rPr/>
              <w:t>«</w:t>
            </w:r>
            <w:r>
              <w:rPr>
                <w:rFonts w:ascii="Times New Roman" w:hAnsi="Times New Roman"/>
                <w:sz w:val="24"/>
              </w:rPr>
              <w:t>Лидер в области внедрения инновационных технологий</w:t>
            </w:r>
            <w:r>
              <w:rPr/>
              <w:t>»</w:t>
            </w:r>
            <w:r>
              <w:rPr>
                <w:rFonts w:ascii="Times New Roman" w:hAnsi="Times New Roman"/>
                <w:sz w:val="24"/>
              </w:rPr>
              <w:t xml:space="preserve"> и награждены золотой медалью конкурса (2017, 2019 года).</w:t>
            </w:r>
          </w:p>
          <w:p>
            <w:pPr>
              <w:pStyle w:val="ListParagraph"/>
              <w:ind w:left="0" w:firstLine="459"/>
              <w:jc w:val="both"/>
              <w:rPr/>
            </w:pPr>
            <w:r>
              <w:rPr/>
              <w:t>Положительное влияние использования ресурсов ИОС цифровых технологий в образовательной деятельности на качество обученности школьников заключается в положительной динамике как по итогам внутреннего контроля достижения образовательных результатов, так и по итогам внешней экспертизы.</w:t>
            </w:r>
          </w:p>
          <w:p>
            <w:pPr>
              <w:pStyle w:val="Normal"/>
              <w:ind w:firstLine="346"/>
              <w:jc w:val="both"/>
              <w:rPr/>
            </w:pPr>
            <w:r>
              <w:rPr/>
              <w:t>При сравнении результатов абсолютной успеваемости за последние пять лет видно, что небольшие колебания наблюдаются, но в среднем абсолютная успеваемость держится в пределах 98,95 – 99,75%.</w:t>
            </w:r>
          </w:p>
          <w:p>
            <w:pPr>
              <w:pStyle w:val="Normal"/>
              <w:ind w:firstLine="346"/>
              <w:jc w:val="both"/>
              <w:rPr/>
            </w:pPr>
            <w:r>
              <w:rPr/>
              <w:t>В 2018 – 2019 учебном году процент качественной успеваемости значительно повысился по сравнению с предыдущим учебным годом до 48%, что является самым высоким за последние 5 лет. Констатируем положительную динамику  отличников по годам:</w:t>
            </w:r>
          </w:p>
          <w:p>
            <w:pPr>
              <w:pStyle w:val="Normal"/>
              <w:ind w:firstLine="346"/>
              <w:jc w:val="both"/>
              <w:rPr/>
            </w:pPr>
            <w:r>
              <w:rPr/>
              <w:t>- 2015 – 2016 уч. год – 75,</w:t>
            </w:r>
          </w:p>
          <w:p>
            <w:pPr>
              <w:pStyle w:val="Normal"/>
              <w:ind w:firstLine="346"/>
              <w:jc w:val="both"/>
              <w:rPr/>
            </w:pPr>
            <w:r>
              <w:rPr/>
              <w:t>- 2017 – 2018 уч. год – 85,</w:t>
            </w:r>
          </w:p>
          <w:p>
            <w:pPr>
              <w:pStyle w:val="Normal"/>
              <w:ind w:firstLine="346"/>
              <w:jc w:val="both"/>
              <w:rPr/>
            </w:pPr>
            <w:r>
              <w:rPr/>
              <w:t>- 2018 – 2019 уч. год – 88</w:t>
              <w:tab/>
            </w:r>
          </w:p>
          <w:p>
            <w:pPr>
              <w:pStyle w:val="Normal"/>
              <w:ind w:firstLine="346"/>
              <w:jc w:val="both"/>
              <w:rPr/>
            </w:pPr>
            <w:r>
              <w:rPr/>
              <w:t>Ежегодно 100% выпускников гимназии получают аттестаты об окончании уровня образования: основного общего и среднего общего.</w:t>
            </w:r>
          </w:p>
          <w:p>
            <w:pPr>
              <w:pStyle w:val="Normal"/>
              <w:ind w:firstLine="346"/>
              <w:jc w:val="both"/>
              <w:rPr/>
            </w:pPr>
            <w:r>
              <w:rPr/>
              <w:t>Аттестаты о среднем общем образовании в 2019 году  получили 45 человека, в т. ч. 1 с отличием (федеральная медаль «За особые успехи в учении»).</w:t>
            </w:r>
          </w:p>
          <w:p>
            <w:pPr>
              <w:pStyle w:val="Normal"/>
              <w:ind w:firstLine="346"/>
              <w:jc w:val="both"/>
              <w:rPr/>
            </w:pPr>
            <w:r>
              <w:rPr/>
              <w:t>На протяжении 3 последних лет фиксируется положительная динамика результативности участия в муниципальном этапе Всероссийской олимпиады школьников: 2016 – 2017 уч. год – 43 призера и победителя,  2017 – 2018 уч. год – 50, 2018 – 2019 уч. год – 53.</w:t>
            </w:r>
          </w:p>
          <w:p>
            <w:pPr>
              <w:pStyle w:val="Normal"/>
              <w:ind w:firstLine="346"/>
              <w:jc w:val="both"/>
              <w:rPr>
                <w:bCs/>
              </w:rPr>
            </w:pPr>
            <w:r>
              <w:rPr>
                <w:bCs/>
              </w:rPr>
              <w:t xml:space="preserve">В гимназии на традиционной НПК ежегодно принимают участие не менее 50% обучающихся. Наиболее одаренные ребята представляют гимназию на очных НПК городского, регионального уровней, а также дистанционных конференциях. Наблюдается положительная динамика в количестве участников и результативности участия в НПК. В 2015 – 2016 учебном году в региональной НПК завоевали призовые места только 6 школьников, в 2017 – 2018 учебном году – 14, в 2018 – 2019 учебном году – 21 обучающийся.  В дистанционных НПК ежегодно в среднем участвует не менее 150 школьников. </w:t>
            </w:r>
          </w:p>
          <w:p>
            <w:pPr>
              <w:pStyle w:val="Normal"/>
              <w:ind w:firstLine="346"/>
              <w:jc w:val="both"/>
              <w:rPr>
                <w:bCs/>
              </w:rPr>
            </w:pPr>
            <w:r>
              <w:rPr>
                <w:bCs/>
              </w:rPr>
              <w:t>Ежегодно среди обучающихся гимназии возрастает число участников интеллектуальных и творческих конкурсов различного уровня. Благодаря современным техническим средствам, дистанционным технологиям школьники массово пробуют свои силы и проверяют знания в дистанционных викторинах, конкурсах, играх. Результативность участия в мероприятиях – более 53 %.</w:t>
            </w:r>
          </w:p>
          <w:p>
            <w:pPr>
              <w:pStyle w:val="Normal"/>
              <w:ind w:firstLine="346"/>
              <w:jc w:val="both"/>
              <w:rPr>
                <w:bCs/>
              </w:rPr>
            </w:pPr>
            <w:r>
              <w:rPr>
                <w:bCs/>
              </w:rPr>
              <w:t xml:space="preserve">Ежегодно гимназия входит в число лучших образовательных организаций РФ. В 2018 и 2019 годах МБОУ Гимназия № 24 вошло в Национальный реестр </w:t>
            </w:r>
            <w:r>
              <w:rPr/>
              <w:t>«</w:t>
            </w:r>
            <w:r>
              <w:rPr>
                <w:bCs/>
              </w:rPr>
              <w:t>Ведущие образовательные учреждения России</w:t>
            </w:r>
            <w:r>
              <w:rPr/>
              <w:t>»</w:t>
            </w:r>
            <w:r>
              <w:rPr>
                <w:bCs/>
              </w:rPr>
              <w:t>.</w:t>
            </w:r>
          </w:p>
          <w:p>
            <w:pPr>
              <w:pStyle w:val="Normal"/>
              <w:ind w:firstLine="346"/>
              <w:jc w:val="both"/>
              <w:rPr/>
            </w:pPr>
            <w:r>
              <w:rPr/>
              <w:t>По итогам электронного анкетирования управления образованием Междуреченского городского округа на протяжении 3-х лет удовлетворенность участников образовательных отношений гимназии достаточно высокая – более 90%. В 2018 – 2019 учебном году удовлетворенность качеством образования составила 97,25%, что свидетельствует о привлекательности и комфортности образовательной среды МБОУ Гимназия № 24.</w:t>
            </w:r>
          </w:p>
          <w:p>
            <w:pPr>
              <w:pStyle w:val="Normal"/>
              <w:ind w:firstLine="346"/>
              <w:jc w:val="both"/>
              <w:rPr/>
            </w:pPr>
            <w:r>
              <w:rPr/>
              <w:t xml:space="preserve">Более подробно с результатами деятельности гимназии можно ознакомиться на официальном сайте гимназии, в публичных отчетах директора: </w:t>
            </w:r>
            <w:hyperlink r:id="rId8">
              <w:r>
                <w:rPr>
                  <w:rStyle w:val="Style14"/>
                </w:rPr>
                <w:t>http://gimnaz24.pokori.net/index.php?option=com_content&amp;view=article&amp;id=61:publichnyj-otchet&amp;catid=8&amp;Itemid=435</w:t>
              </w:r>
            </w:hyperlink>
            <w:r>
              <w:rPr/>
              <w:t xml:space="preserve"> </w:t>
            </w:r>
          </w:p>
        </w:tc>
      </w:tr>
      <w:tr>
        <w:trPr/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hanging="0"/>
              <w:rPr/>
            </w:pPr>
            <w:r>
              <w:rPr/>
              <w:t>Прогноз о результатах спроса на полученные результаты (продукты)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ind w:left="0" w:firstLine="459"/>
              <w:jc w:val="both"/>
              <w:rPr/>
            </w:pPr>
            <w:r>
              <w:rPr/>
              <w:t>С целью повышения качества образования в гимназии успешно реализуется информационно-коммуникационные технологии, ресурсы ИОС и цифровые инструменты. В других образовательных организациях ИОС может быть воспроизведена с учетом специфики их деятельности с важными обязательными условиями: наличие хорошего уровня ИК-компетентности участников образовательных отношений (60% и более),  качественный доступ к сети интернета, хорошая материально-техническая база – соотношение количества сотрудников к количеству персональных компьютеров, не менее 1:2, и постоянное совершенствование информационно-коммуникационных компетенций всех участников образовательных отношений учреждения.</w:t>
            </w:r>
          </w:p>
          <w:p>
            <w:pPr>
              <w:pStyle w:val="ListParagraph"/>
              <w:ind w:left="0" w:firstLine="459"/>
              <w:jc w:val="both"/>
              <w:rPr/>
            </w:pPr>
            <w:r>
              <w:rPr/>
              <w:t>Электронный ресурс МБОУ Гимназия № 24 «Информационно-образовательная среда МБОУ Гимназия № 24 Междуреченского городского округа» зарегистрирован в объединенном фонде электронных ресурсов «Наука и образование» ФГБНУ «Институт управления образованием Российской академии образования», отвечающий требованиям новизны и приоритетности. Авторский коллектив получил свидетельство № 23478 от 13.02.2018 г. о регистрации электронного ресурса.</w:t>
            </w:r>
          </w:p>
        </w:tc>
      </w:tr>
    </w:tbl>
    <w:p>
      <w:pPr>
        <w:pStyle w:val="ListParagraph"/>
        <w:spacing w:lineRule="auto" w:line="360" w:before="240" w:after="0"/>
        <w:ind w:left="0" w:hanging="0"/>
        <w:contextualSpacing/>
        <w:jc w:val="both"/>
        <w:rPr>
          <w:i/>
          <w:i/>
          <w:sz w:val="28"/>
          <w:szCs w:val="28"/>
          <w:vertAlign w:val="superscript"/>
        </w:rPr>
      </w:pPr>
      <w:r>
        <w:rPr/>
      </w:r>
    </w:p>
    <w:sectPr>
      <w:footerReference w:type="default" r:id="rId9"/>
      <w:type w:val="nextPage"/>
      <w:pgSz w:w="11906" w:h="16838"/>
      <w:pgMar w:left="1134" w:right="964" w:header="0" w:top="709" w:footer="709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inherit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Style2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52ad9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uiPriority w:val="99"/>
    <w:rsid w:val="005e4419"/>
    <w:rPr>
      <w:rFonts w:cs="Times New Roman"/>
      <w:color w:val="0563C1"/>
      <w:u w:val="single"/>
    </w:rPr>
  </w:style>
  <w:style w:type="character" w:styleId="Style15" w:customStyle="1">
    <w:name w:val="Верхний колонтитул Знак"/>
    <w:link w:val="a6"/>
    <w:uiPriority w:val="99"/>
    <w:qFormat/>
    <w:locked/>
    <w:rsid w:val="00d426c8"/>
    <w:rPr>
      <w:sz w:val="22"/>
      <w:lang w:eastAsia="en-US"/>
    </w:rPr>
  </w:style>
  <w:style w:type="character" w:styleId="Style16" w:customStyle="1">
    <w:name w:val="Нижний колонтитул Знак"/>
    <w:link w:val="a8"/>
    <w:uiPriority w:val="99"/>
    <w:qFormat/>
    <w:locked/>
    <w:rsid w:val="00d426c8"/>
    <w:rPr>
      <w:sz w:val="22"/>
      <w:lang w:eastAsia="en-US"/>
    </w:rPr>
  </w:style>
  <w:style w:type="character" w:styleId="Style17" w:customStyle="1">
    <w:name w:val="Текст выноски Знак"/>
    <w:link w:val="aa"/>
    <w:uiPriority w:val="99"/>
    <w:semiHidden/>
    <w:qFormat/>
    <w:locked/>
    <w:rsid w:val="00d87ba9"/>
    <w:rPr>
      <w:rFonts w:ascii="Segoe UI" w:hAnsi="Segoe UI"/>
      <w:sz w:val="18"/>
      <w:lang w:eastAsia="en-US"/>
    </w:rPr>
  </w:style>
  <w:style w:type="character" w:styleId="Style18" w:customStyle="1">
    <w:name w:val="Без интервала Знак"/>
    <w:link w:val="ac"/>
    <w:uiPriority w:val="1"/>
    <w:qFormat/>
    <w:rsid w:val="007a5f4a"/>
    <w:rPr>
      <w:sz w:val="22"/>
      <w:szCs w:val="22"/>
      <w:lang w:eastAsia="en-US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sz w:val="20"/>
    </w:rPr>
  </w:style>
  <w:style w:type="character" w:styleId="ListLabel29">
    <w:name w:val="ListLabel 29"/>
    <w:qFormat/>
    <w:rPr>
      <w:sz w:val="20"/>
    </w:rPr>
  </w:style>
  <w:style w:type="character" w:styleId="ListLabel30">
    <w:name w:val="ListLabel 30"/>
    <w:qFormat/>
    <w:rPr>
      <w:sz w:val="20"/>
    </w:rPr>
  </w:style>
  <w:style w:type="character" w:styleId="ListLabel31">
    <w:name w:val="ListLabel 31"/>
    <w:qFormat/>
    <w:rPr>
      <w:sz w:val="20"/>
    </w:rPr>
  </w:style>
  <w:style w:type="character" w:styleId="ListLabel32">
    <w:name w:val="ListLabel 32"/>
    <w:qFormat/>
    <w:rPr>
      <w:sz w:val="20"/>
    </w:rPr>
  </w:style>
  <w:style w:type="character" w:styleId="ListLabel33">
    <w:name w:val="ListLabel 33"/>
    <w:qFormat/>
    <w:rPr>
      <w:sz w:val="20"/>
    </w:rPr>
  </w:style>
  <w:style w:type="character" w:styleId="ListLabel34">
    <w:name w:val="ListLabel 34"/>
    <w:qFormat/>
    <w:rPr>
      <w:sz w:val="20"/>
    </w:rPr>
  </w:style>
  <w:style w:type="character" w:styleId="ListLabel35">
    <w:name w:val="ListLabel 35"/>
    <w:qFormat/>
    <w:rPr>
      <w:sz w:val="20"/>
    </w:rPr>
  </w:style>
  <w:style w:type="character" w:styleId="ListLabel36">
    <w:name w:val="ListLabel 36"/>
    <w:qFormat/>
    <w:rPr>
      <w:sz w:val="20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sz w:val="20"/>
    </w:rPr>
  </w:style>
  <w:style w:type="character" w:styleId="ListLabel47">
    <w:name w:val="ListLabel 47"/>
    <w:qFormat/>
    <w:rPr>
      <w:sz w:val="20"/>
    </w:rPr>
  </w:style>
  <w:style w:type="character" w:styleId="ListLabel48">
    <w:name w:val="ListLabel 48"/>
    <w:qFormat/>
    <w:rPr>
      <w:sz w:val="20"/>
    </w:rPr>
  </w:style>
  <w:style w:type="character" w:styleId="ListLabel49">
    <w:name w:val="ListLabel 49"/>
    <w:qFormat/>
    <w:rPr>
      <w:sz w:val="20"/>
    </w:rPr>
  </w:style>
  <w:style w:type="character" w:styleId="ListLabel50">
    <w:name w:val="ListLabel 50"/>
    <w:qFormat/>
    <w:rPr>
      <w:sz w:val="20"/>
    </w:rPr>
  </w:style>
  <w:style w:type="character" w:styleId="ListLabel51">
    <w:name w:val="ListLabel 51"/>
    <w:qFormat/>
    <w:rPr>
      <w:sz w:val="20"/>
    </w:rPr>
  </w:style>
  <w:style w:type="character" w:styleId="ListLabel52">
    <w:name w:val="ListLabel 52"/>
    <w:qFormat/>
    <w:rPr>
      <w:sz w:val="20"/>
    </w:rPr>
  </w:style>
  <w:style w:type="character" w:styleId="ListLabel53">
    <w:name w:val="ListLabel 53"/>
    <w:qFormat/>
    <w:rPr>
      <w:sz w:val="20"/>
    </w:rPr>
  </w:style>
  <w:style w:type="character" w:styleId="ListLabel54">
    <w:name w:val="ListLabel 54"/>
    <w:qFormat/>
    <w:rPr>
      <w:sz w:val="20"/>
    </w:rPr>
  </w:style>
  <w:style w:type="character" w:styleId="ListLabel55">
    <w:name w:val="ListLabel 55"/>
    <w:qFormat/>
    <w:rPr>
      <w:sz w:val="20"/>
    </w:rPr>
  </w:style>
  <w:style w:type="character" w:styleId="ListLabel56">
    <w:name w:val="ListLabel 56"/>
    <w:qFormat/>
    <w:rPr>
      <w:sz w:val="20"/>
    </w:rPr>
  </w:style>
  <w:style w:type="character" w:styleId="ListLabel57">
    <w:name w:val="ListLabel 57"/>
    <w:qFormat/>
    <w:rPr>
      <w:sz w:val="20"/>
    </w:rPr>
  </w:style>
  <w:style w:type="character" w:styleId="ListLabel58">
    <w:name w:val="ListLabel 58"/>
    <w:qFormat/>
    <w:rPr>
      <w:sz w:val="20"/>
    </w:rPr>
  </w:style>
  <w:style w:type="character" w:styleId="ListLabel59">
    <w:name w:val="ListLabel 59"/>
    <w:qFormat/>
    <w:rPr>
      <w:sz w:val="20"/>
    </w:rPr>
  </w:style>
  <w:style w:type="character" w:styleId="ListLabel60">
    <w:name w:val="ListLabel 60"/>
    <w:qFormat/>
    <w:rPr>
      <w:sz w:val="20"/>
    </w:rPr>
  </w:style>
  <w:style w:type="character" w:styleId="ListLabel61">
    <w:name w:val="ListLabel 61"/>
    <w:qFormat/>
    <w:rPr>
      <w:sz w:val="20"/>
    </w:rPr>
  </w:style>
  <w:style w:type="character" w:styleId="ListLabel62">
    <w:name w:val="ListLabel 62"/>
    <w:qFormat/>
    <w:rPr>
      <w:sz w:val="20"/>
    </w:rPr>
  </w:style>
  <w:style w:type="character" w:styleId="ListLabel63">
    <w:name w:val="ListLabel 63"/>
    <w:qFormat/>
    <w:rPr>
      <w:sz w:val="20"/>
    </w:rPr>
  </w:style>
  <w:style w:type="character" w:styleId="ListLabel64">
    <w:name w:val="ListLabel 64"/>
    <w:qFormat/>
    <w:rPr/>
  </w:style>
  <w:style w:type="character" w:styleId="ListLabel65">
    <w:name w:val="ListLabel 65"/>
    <w:qFormat/>
    <w:rPr>
      <w:rFonts w:ascii="Times New Roman" w:hAnsi="Times New Roman" w:eastAsia="Times New Roman"/>
      <w:sz w:val="24"/>
      <w:szCs w:val="24"/>
      <w:lang w:eastAsia="ru-RU"/>
    </w:rPr>
  </w:style>
  <w:style w:type="character" w:styleId="ListLabel66">
    <w:name w:val="ListLabel 66"/>
    <w:qFormat/>
    <w:rPr>
      <w:rFonts w:ascii="Times New Roman" w:hAnsi="Times New Roman"/>
      <w:sz w:val="24"/>
      <w:szCs w:val="24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ucida Sans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rsid w:val="004a5a67"/>
    <w:pPr>
      <w:spacing w:before="0" w:after="0"/>
      <w:ind w:left="720" w:hanging="0"/>
      <w:contextualSpacing/>
    </w:pPr>
    <w:rPr/>
  </w:style>
  <w:style w:type="paragraph" w:styleId="Style24">
    <w:name w:val="Header"/>
    <w:basedOn w:val="Normal"/>
    <w:link w:val="a7"/>
    <w:uiPriority w:val="99"/>
    <w:rsid w:val="00d426c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a9"/>
    <w:uiPriority w:val="99"/>
    <w:rsid w:val="00d426c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b"/>
    <w:uiPriority w:val="99"/>
    <w:semiHidden/>
    <w:qFormat/>
    <w:rsid w:val="00d87ba9"/>
    <w:pPr/>
    <w:rPr>
      <w:rFonts w:ascii="Segoe UI" w:hAnsi="Segoe UI"/>
      <w:sz w:val="18"/>
      <w:szCs w:val="18"/>
    </w:rPr>
  </w:style>
  <w:style w:type="paragraph" w:styleId="NoSpacing">
    <w:name w:val="No Spacing"/>
    <w:link w:val="ad"/>
    <w:uiPriority w:val="1"/>
    <w:qFormat/>
    <w:rsid w:val="007a5f4a"/>
    <w:pPr>
      <w:widowControl/>
      <w:bidi w:val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NormalWeb">
    <w:name w:val="Normal (Web)"/>
    <w:basedOn w:val="Normal"/>
    <w:uiPriority w:val="99"/>
    <w:unhideWhenUsed/>
    <w:qFormat/>
    <w:rsid w:val="00ab6f80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99"/>
    <w:rsid w:val="002768d4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imnaz1974@yandex.ru" TargetMode="External"/><Relationship Id="rId3" Type="http://schemas.openxmlformats.org/officeDocument/2006/relationships/hyperlink" Target="http://gimnaz24.pokori.net/" TargetMode="External"/><Relationship Id="rId4" Type="http://schemas.openxmlformats.org/officeDocument/2006/relationships/hyperlink" Target="http://moodle.pokori.net/" TargetMode="External"/><Relationship Id="rId5" Type="http://schemas.openxmlformats.org/officeDocument/2006/relationships/hyperlink" Target="http://moodle.pokori.net/" TargetMode="External"/><Relationship Id="rId6" Type="http://schemas.openxmlformats.org/officeDocument/2006/relationships/hyperlink" Target="http://terra.pokori.net/" TargetMode="External"/><Relationship Id="rId7" Type="http://schemas.openxmlformats.org/officeDocument/2006/relationships/hyperlink" Target="http://edo.pokori.net/" TargetMode="External"/><Relationship Id="rId8" Type="http://schemas.openxmlformats.org/officeDocument/2006/relationships/hyperlink" Target="http://gimnaz24.pokori.net/index.php?option=com_content&amp;view=article&amp;id=61:publichnyj-otchet&amp;catid=8&amp;Itemid=435" TargetMode="External"/><Relationship Id="rId9" Type="http://schemas.openxmlformats.org/officeDocument/2006/relationships/footer" Target="footer1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LibreOffice/6.2.3.2$Windows_X86_64 LibreOffice_project/aecc05fe267cc68dde00352a451aa867b3b546ac</Application>
  <Pages>7</Pages>
  <Words>1983</Words>
  <Characters>15751</Characters>
  <CharactersWithSpaces>17678</CharactersWithSpaces>
  <Paragraphs>109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2019-12-23T04:15:00Z</dcterms:created>
  <dc:creator>User</dc:creator>
  <dc:description/>
  <dc:language>ru-RU</dc:language>
  <cp:lastModifiedBy/>
  <cp:lastPrinted>2019-12-23T04:25:00Z</cp:lastPrinted>
  <dcterms:modified xsi:type="dcterms:W3CDTF">2020-01-20T09:37:07Z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